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3155" w14:textId="1D5703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5E2A71A7" w14:textId="777777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4A76BA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6650289D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266E9" w:rsidRPr="0005175D">
        <w:rPr>
          <w:b/>
          <w:sz w:val="22"/>
          <w:szCs w:val="22"/>
        </w:rPr>
        <w:t>8</w:t>
      </w:r>
      <w:r w:rsidR="00A63747" w:rsidRPr="00A63747">
        <w:rPr>
          <w:b/>
          <w:sz w:val="22"/>
          <w:szCs w:val="22"/>
        </w:rPr>
        <w:t>У</w:t>
      </w:r>
      <w:r w:rsidR="00A63747" w:rsidRPr="0005175D">
        <w:rPr>
          <w:b/>
          <w:sz w:val="22"/>
          <w:szCs w:val="22"/>
        </w:rPr>
        <w:t>Е</w:t>
      </w:r>
      <w:r w:rsidR="00A63747" w:rsidRPr="00A63747">
        <w:rPr>
          <w:b/>
          <w:sz w:val="22"/>
          <w:szCs w:val="22"/>
        </w:rPr>
        <w:t>нп</w:t>
      </w:r>
    </w:p>
    <w:p w14:paraId="3D317676" w14:textId="77777777" w:rsidR="0005175D" w:rsidRPr="00026C4E" w:rsidRDefault="0005175D" w:rsidP="0005175D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58FB1C4" w14:textId="44C02870" w:rsidR="00E249B8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1ADC2C67" w14:textId="77777777" w:rsidR="0006485A" w:rsidRPr="004A76BA" w:rsidRDefault="0006485A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8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93"/>
      </w:tblGrid>
      <w:tr w:rsidR="00E249B8" w:rsidRPr="004A76BA" w14:paraId="12A1991A" w14:textId="77777777" w:rsidTr="00DD1097">
        <w:trPr>
          <w:trHeight w:val="273"/>
        </w:trPr>
        <w:tc>
          <w:tcPr>
            <w:tcW w:w="3261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D1097">
        <w:trPr>
          <w:trHeight w:val="273"/>
        </w:trPr>
        <w:tc>
          <w:tcPr>
            <w:tcW w:w="3261" w:type="dxa"/>
            <w:shd w:val="clear" w:color="auto" w:fill="auto"/>
          </w:tcPr>
          <w:p w14:paraId="5C7B2F6B" w14:textId="77777777" w:rsidR="00E249B8" w:rsidRPr="0006485A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CFAE836" w:rsidR="00E249B8" w:rsidRPr="00D1202E" w:rsidRDefault="00A63747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69D03DD5" w14:textId="0D3B8961" w:rsidR="00A335B2" w:rsidRPr="001266E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63747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14:paraId="0BEFC558" w14:textId="10008253" w:rsidR="00E249B8" w:rsidRPr="001266E9" w:rsidRDefault="00A335B2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E249B8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63747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01148D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01148D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01148D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</w:t>
            </w:r>
          </w:p>
          <w:p w14:paraId="087273A0" w14:textId="60B9DCF2" w:rsidR="00E249B8" w:rsidRPr="00D1202E" w:rsidRDefault="00A63747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мереж оператора системи у встановленому законодавством порядку; </w:t>
            </w:r>
          </w:p>
          <w:p w14:paraId="3906EB26" w14:textId="77D17539" w:rsidR="00A335B2" w:rsidRDefault="00A63747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C8B204C" w14:textId="1F125853" w:rsidR="006278C5" w:rsidRPr="00D1202E" w:rsidRDefault="006278C5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531B98">
              <w:fldChar w:fldCharType="begin"/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instrText>HYPERLINK</w:instrText>
            </w:r>
            <w:r w:rsidR="00531B98" w:rsidRPr="003D3BF8">
              <w:rPr>
                <w:lang w:val="uk-UA"/>
              </w:rPr>
              <w:instrText xml:space="preserve"> "</w:instrText>
            </w:r>
            <w:r w:rsidR="00531B98">
              <w:instrText>https</w:instrText>
            </w:r>
            <w:r w:rsidR="00531B98" w:rsidRPr="003D3BF8">
              <w:rPr>
                <w:lang w:val="uk-UA"/>
              </w:rPr>
              <w:instrText>://</w:instrText>
            </w:r>
            <w:r w:rsidR="00531B98">
              <w:instrText>zakon</w:instrText>
            </w:r>
            <w:r w:rsidR="00531B98" w:rsidRPr="003D3BF8">
              <w:rPr>
                <w:lang w:val="uk-UA"/>
              </w:rPr>
              <w:instrText>-</w:instrText>
            </w:r>
            <w:r w:rsidR="00531B98">
              <w:instrText>pro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ligazakon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net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document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KP</w:instrText>
            </w:r>
            <w:r w:rsidR="00531B98" w:rsidRPr="003D3BF8">
              <w:rPr>
                <w:lang w:val="uk-UA"/>
              </w:rPr>
              <w:instrText>241479?</w:instrText>
            </w:r>
            <w:r w:rsidR="00531B98">
              <w:instrText>ed</w:instrText>
            </w:r>
            <w:r w:rsidR="00531B98" w:rsidRPr="003D3BF8">
              <w:rPr>
                <w:lang w:val="uk-UA"/>
              </w:rPr>
              <w:instrText>=2024_12_20&amp;</w:instrText>
            </w:r>
            <w:r w:rsidR="00531B98">
              <w:instrText>an</w:instrText>
            </w:r>
            <w:r w:rsidR="00531B98" w:rsidRPr="003D3BF8">
              <w:rPr>
                <w:lang w:val="uk-UA"/>
              </w:rPr>
              <w:instrText>=63" \</w:instrText>
            </w:r>
            <w:r w:rsidR="00531B98">
              <w:instrText>h</w:instrText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відсутні</w:t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сть газифікації багатоквартирних будинк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 та відсутність</w:t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нефункціонування</w:t>
            </w:r>
            <w:proofErr w:type="spellEnd"/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зазначених будинках систем</w:t>
            </w:r>
            <w:r w:rsidR="00531B9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fldChar w:fldCharType="end"/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31B98">
              <w:fldChar w:fldCharType="begin"/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instrText>HYPERLINK</w:instrText>
            </w:r>
            <w:r w:rsidR="00531B98" w:rsidRPr="003D3BF8">
              <w:rPr>
                <w:lang w:val="uk-UA"/>
              </w:rPr>
              <w:instrText xml:space="preserve"> "</w:instrText>
            </w:r>
            <w:r w:rsidR="00531B98">
              <w:instrText>https</w:instrText>
            </w:r>
            <w:r w:rsidR="00531B98" w:rsidRPr="003D3BF8">
              <w:rPr>
                <w:lang w:val="uk-UA"/>
              </w:rPr>
              <w:instrText>://</w:instrText>
            </w:r>
            <w:r w:rsidR="00531B98">
              <w:instrText>zakon</w:instrText>
            </w:r>
            <w:r w:rsidR="00531B98" w:rsidRPr="003D3BF8">
              <w:rPr>
                <w:lang w:val="uk-UA"/>
              </w:rPr>
              <w:instrText>-</w:instrText>
            </w:r>
            <w:r w:rsidR="00531B98">
              <w:instrText>pro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ligazakon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net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document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KP</w:instrText>
            </w:r>
            <w:r w:rsidR="00531B98" w:rsidRPr="003D3BF8">
              <w:rPr>
                <w:lang w:val="uk-UA"/>
              </w:rPr>
              <w:instrText>241479?</w:instrText>
            </w:r>
            <w:r w:rsidR="00531B98">
              <w:instrText>ed</w:instrText>
            </w:r>
            <w:r w:rsidR="00531B98" w:rsidRPr="003D3BF8">
              <w:rPr>
                <w:lang w:val="uk-UA"/>
              </w:rPr>
              <w:instrText>=2024_12_20&amp;</w:instrText>
            </w:r>
            <w:r w:rsidR="00531B98">
              <w:instrText>an</w:instrText>
            </w:r>
            <w:r w:rsidR="00531B98" w:rsidRPr="003D3BF8">
              <w:rPr>
                <w:lang w:val="uk-UA"/>
              </w:rPr>
              <w:instrText>=63" \</w:instrText>
            </w:r>
            <w:r w:rsidR="00531B98">
              <w:instrText>h</w:instrText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fldChar w:fldCharType="separate"/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централізованого теплопостачання або систем автономного теплопостачання, які використовують будь-які види енергоносіїв, крім</w:t>
            </w:r>
            <w:r w:rsidR="00531B9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fldChar w:fldCharType="end"/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31B98">
              <w:fldChar w:fldCharType="begin"/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instrText>HYPERLINK</w:instrText>
            </w:r>
            <w:r w:rsidR="00531B98" w:rsidRPr="003D3BF8">
              <w:rPr>
                <w:lang w:val="uk-UA"/>
              </w:rPr>
              <w:instrText xml:space="preserve"> "</w:instrText>
            </w:r>
            <w:r w:rsidR="00531B98">
              <w:instrText>https</w:instrText>
            </w:r>
            <w:r w:rsidR="00531B98" w:rsidRPr="003D3BF8">
              <w:rPr>
                <w:lang w:val="uk-UA"/>
              </w:rPr>
              <w:instrText>://</w:instrText>
            </w:r>
            <w:r w:rsidR="00531B98">
              <w:instrText>zakon</w:instrText>
            </w:r>
            <w:r w:rsidR="00531B98" w:rsidRPr="003D3BF8">
              <w:rPr>
                <w:lang w:val="uk-UA"/>
              </w:rPr>
              <w:instrText>-</w:instrText>
            </w:r>
            <w:r w:rsidR="00531B98">
              <w:instrText>pro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ligazakon</w:instrText>
            </w:r>
            <w:r w:rsidR="00531B98" w:rsidRPr="003D3BF8">
              <w:rPr>
                <w:lang w:val="uk-UA"/>
              </w:rPr>
              <w:instrText>.</w:instrText>
            </w:r>
            <w:r w:rsidR="00531B98">
              <w:instrText>ne</w:instrText>
            </w:r>
            <w:r w:rsidR="00531B98">
              <w:instrText>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document</w:instrText>
            </w:r>
            <w:r w:rsidR="00531B98" w:rsidRPr="003D3BF8">
              <w:rPr>
                <w:lang w:val="uk-UA"/>
              </w:rPr>
              <w:instrText>/</w:instrText>
            </w:r>
            <w:r w:rsidR="00531B98">
              <w:instrText>KP</w:instrText>
            </w:r>
            <w:r w:rsidR="00531B98" w:rsidRPr="003D3BF8">
              <w:rPr>
                <w:lang w:val="uk-UA"/>
              </w:rPr>
              <w:instrText>241479?</w:instrText>
            </w:r>
            <w:r w:rsidR="00531B98">
              <w:instrText>ed</w:instrText>
            </w:r>
            <w:r w:rsidR="00531B98" w:rsidRPr="003D3BF8">
              <w:rPr>
                <w:lang w:val="uk-UA"/>
              </w:rPr>
              <w:instrText>=2024_12_20&amp;</w:instrText>
            </w:r>
            <w:r w:rsidR="00531B98">
              <w:instrText>an</w:instrText>
            </w:r>
            <w:r w:rsidR="00531B98" w:rsidRPr="003D3BF8">
              <w:rPr>
                <w:lang w:val="uk-UA"/>
              </w:rPr>
              <w:instrText>=63" \</w:instrText>
            </w:r>
            <w:r w:rsidR="00531B98">
              <w:instrText>h</w:instrText>
            </w:r>
            <w:r w:rsidR="00531B98" w:rsidRPr="003D3BF8">
              <w:rPr>
                <w:lang w:val="uk-UA"/>
              </w:rPr>
              <w:instrText xml:space="preserve"> </w:instrText>
            </w:r>
            <w:r w:rsidR="00531B98">
              <w:fldChar w:fldCharType="separate"/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електричної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енергії;</w:t>
            </w:r>
            <w:r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31B9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fldChar w:fldCharType="end"/>
            </w:r>
          </w:p>
          <w:p w14:paraId="55B19795" w14:textId="479133C7" w:rsidR="00E249B8" w:rsidRPr="00D1202E" w:rsidRDefault="00A63747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D1097">
        <w:trPr>
          <w:trHeight w:val="1833"/>
        </w:trPr>
        <w:tc>
          <w:tcPr>
            <w:tcW w:w="3261" w:type="dxa"/>
            <w:shd w:val="clear" w:color="auto" w:fill="auto"/>
          </w:tcPr>
          <w:p w14:paraId="40F5FCB6" w14:textId="359E090D" w:rsidR="00E249B8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7521BF7C" w14:textId="188200EF" w:rsidR="00E249B8" w:rsidRPr="0006485A" w:rsidRDefault="004F31AB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E249B8">
              <w:rPr>
                <w:sz w:val="22"/>
                <w:szCs w:val="22"/>
              </w:rPr>
              <w:t xml:space="preserve">стрів України від </w:t>
            </w:r>
            <w:r w:rsidR="008F758E" w:rsidRPr="008F758E">
              <w:rPr>
                <w:sz w:val="22"/>
                <w:szCs w:val="22"/>
              </w:rPr>
              <w:t>29 квітня 2025 року № 480</w:t>
            </w:r>
            <w:r w:rsidR="00E249B8" w:rsidRPr="00D120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="00E249B8" w:rsidRPr="00D1202E">
              <w:rPr>
                <w:sz w:val="22"/>
                <w:szCs w:val="22"/>
              </w:rPr>
              <w:t xml:space="preserve"> </w:t>
            </w:r>
            <w:r w:rsidR="00A63747" w:rsidRPr="001266E9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1266E9">
              <w:rPr>
                <w:sz w:val="22"/>
                <w:szCs w:val="22"/>
              </w:rPr>
              <w:t>а саме: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1369"/>
              <w:gridCol w:w="1475"/>
              <w:gridCol w:w="1442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4BA12483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125F7A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="00186747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F758E">
              <w:tc>
                <w:tcPr>
                  <w:tcW w:w="2188" w:type="dxa"/>
                  <w:hideMark/>
                </w:tcPr>
                <w:p w14:paraId="237CE287" w14:textId="3F5B48DB" w:rsidR="00E249B8" w:rsidRPr="00CF0848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CF0848">
                    <w:rPr>
                      <w:sz w:val="22"/>
                      <w:szCs w:val="22"/>
                    </w:rPr>
                    <w:t xml:space="preserve">Для індивідуальних та колективних побутових споживачів, які проживають в житлових будинках (у тому числі в житлових будинках </w:t>
                  </w:r>
                  <w:r w:rsidRPr="00CF0848">
                    <w:rPr>
                      <w:sz w:val="22"/>
                      <w:szCs w:val="22"/>
                    </w:rPr>
                    <w:lastRenderedPageBreak/>
                    <w:t>готельного типу, квартирах), обл</w:t>
                  </w:r>
                  <w:r w:rsidR="00A335B2">
                    <w:rPr>
                      <w:sz w:val="22"/>
                      <w:szCs w:val="22"/>
                    </w:rPr>
                    <w:t xml:space="preserve">аднаних в установленому порядку </w:t>
                  </w:r>
                  <w:proofErr w:type="spellStart"/>
                  <w:r w:rsidRPr="00A335B2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A335B2">
                    <w:rPr>
                      <w:sz w:val="22"/>
                      <w:szCs w:val="22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</w:rPr>
                    <w:t>установками:</w:t>
                  </w:r>
                </w:p>
                <w:p w14:paraId="16AFA1BB" w14:textId="5BE75E86" w:rsidR="00CF0848" w:rsidRPr="00CF0848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CF0848">
                    <w:rPr>
                      <w:sz w:val="22"/>
                      <w:szCs w:val="22"/>
                    </w:rPr>
                    <w:t xml:space="preserve">у період з 1 </w:t>
                  </w:r>
                  <w:r w:rsidR="008F758E">
                    <w:rPr>
                      <w:sz w:val="22"/>
                      <w:szCs w:val="22"/>
                    </w:rPr>
                    <w:t>травня</w:t>
                  </w:r>
                  <w:r w:rsidRPr="00CF0848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CF0848" w:rsidRDefault="00CF0848" w:rsidP="00847F94">
                  <w:pPr>
                    <w:spacing w:before="150" w:after="150"/>
                    <w:rPr>
                      <w:sz w:val="22"/>
                      <w:szCs w:val="22"/>
                      <w:lang w:val="ru-RU"/>
                    </w:rPr>
                  </w:pPr>
                  <w:r w:rsidRPr="00CF0848">
                    <w:rPr>
                      <w:sz w:val="22"/>
                      <w:szCs w:val="22"/>
                      <w:lang w:val="ru-RU"/>
                    </w:rPr>
                    <w:t>у</w:t>
                  </w:r>
                  <w:r w:rsidRPr="00CF0848">
                    <w:rPr>
                      <w:spacing w:val="-6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період</w:t>
                  </w:r>
                  <w:proofErr w:type="spellEnd"/>
                  <w:r w:rsidRPr="00CF0848">
                    <w:rPr>
                      <w:spacing w:val="-5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з</w:t>
                  </w:r>
                  <w:r w:rsidRPr="00CF0848">
                    <w:rPr>
                      <w:spacing w:val="-5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1</w:t>
                  </w:r>
                  <w:r w:rsidRPr="00CF0848">
                    <w:rPr>
                      <w:spacing w:val="-6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жовтня</w:t>
                  </w:r>
                  <w:proofErr w:type="spellEnd"/>
                  <w:r w:rsidRPr="00CF0848">
                    <w:rPr>
                      <w:spacing w:val="-6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по</w:t>
                  </w:r>
                  <w:r w:rsidRPr="00CF0848">
                    <w:rPr>
                      <w:w w:val="99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30</w:t>
                  </w:r>
                  <w:r w:rsidRPr="00CF0848">
                    <w:rPr>
                      <w:spacing w:val="-12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квітня</w:t>
                  </w:r>
                  <w:proofErr w:type="spellEnd"/>
                  <w:r w:rsidRPr="00CF0848">
                    <w:rPr>
                      <w:spacing w:val="-13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(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включно</w:t>
                  </w:r>
                  <w:proofErr w:type="spellEnd"/>
                  <w:r w:rsidRPr="00CF0848">
                    <w:rPr>
                      <w:sz w:val="22"/>
                      <w:szCs w:val="22"/>
                      <w:lang w:val="ru-RU"/>
                    </w:rPr>
                    <w:t>):</w:t>
                  </w:r>
                </w:p>
                <w:p w14:paraId="436C2FF0" w14:textId="0A96D914" w:rsidR="00CF0848" w:rsidRPr="00CF0848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CF0848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CF0848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CF0848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14:paraId="64A65603" w14:textId="116C60C1" w:rsidR="008F758E" w:rsidRDefault="00CF0848" w:rsidP="004A63B2">
                  <w:pPr>
                    <w:spacing w:before="150" w:after="150"/>
                    <w:rPr>
                      <w:sz w:val="28"/>
                      <w:lang w:val="ru-RU"/>
                    </w:rPr>
                  </w:pPr>
                  <w:r w:rsidRPr="00CF0848">
                    <w:rPr>
                      <w:sz w:val="22"/>
                      <w:szCs w:val="22"/>
                      <w:lang w:val="ru-RU"/>
                    </w:rPr>
                    <w:t>-</w:t>
                  </w:r>
                  <w:r w:rsidRPr="00CF0848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понад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pacing w:val="-9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2000</w:t>
                  </w:r>
                  <w:r w:rsidRPr="00CF0848">
                    <w:rPr>
                      <w:spacing w:val="-7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pacing w:val="-1"/>
                      <w:sz w:val="22"/>
                      <w:szCs w:val="22"/>
                      <w:lang w:val="ru-RU"/>
                    </w:rPr>
                    <w:t>кВт∙год</w:t>
                  </w:r>
                  <w:proofErr w:type="spellEnd"/>
                  <w:r w:rsidRPr="00CF0848">
                    <w:rPr>
                      <w:spacing w:val="25"/>
                      <w:w w:val="99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спожитої</w:t>
                  </w:r>
                  <w:proofErr w:type="spellEnd"/>
                  <w:r w:rsidRPr="00CF0848">
                    <w:rPr>
                      <w:spacing w:val="-26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електричної</w:t>
                  </w:r>
                  <w:proofErr w:type="spellEnd"/>
                  <w:r w:rsidRPr="00CF0848">
                    <w:rPr>
                      <w:w w:val="99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CF0848">
                    <w:rPr>
                      <w:sz w:val="22"/>
                      <w:szCs w:val="22"/>
                      <w:lang w:val="ru-RU"/>
                    </w:rPr>
                    <w:t>енергії</w:t>
                  </w:r>
                  <w:proofErr w:type="spellEnd"/>
                  <w:r w:rsidRPr="00CF0848">
                    <w:rPr>
                      <w:spacing w:val="-7"/>
                      <w:sz w:val="22"/>
                      <w:szCs w:val="22"/>
                      <w:lang w:val="ru-RU"/>
                    </w:rPr>
                    <w:t xml:space="preserve"> </w:t>
                  </w:r>
                  <w:r w:rsidRPr="00CF0848">
                    <w:rPr>
                      <w:sz w:val="22"/>
                      <w:szCs w:val="22"/>
                      <w:lang w:val="ru-RU"/>
                    </w:rPr>
                    <w:t>на</w:t>
                  </w:r>
                  <w:r w:rsidRPr="00CF0848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F0848">
                    <w:rPr>
                      <w:sz w:val="22"/>
                      <w:szCs w:val="22"/>
                      <w:lang w:val="ru-RU"/>
                    </w:rPr>
                    <w:t>м</w:t>
                  </w:r>
                  <w:proofErr w:type="gramEnd"/>
                  <w:r w:rsidRPr="00CF0848">
                    <w:rPr>
                      <w:sz w:val="22"/>
                      <w:szCs w:val="22"/>
                      <w:lang w:val="ru-RU"/>
                    </w:rPr>
                    <w:t>ісяць</w:t>
                  </w:r>
                  <w:proofErr w:type="spellEnd"/>
                  <w:r w:rsidR="004A63B2">
                    <w:rPr>
                      <w:spacing w:val="-8"/>
                      <w:sz w:val="22"/>
                      <w:szCs w:val="22"/>
                      <w:lang w:val="ru-RU"/>
                    </w:rPr>
                    <w:t>.</w:t>
                  </w:r>
                </w:p>
                <w:p w14:paraId="15EA6629" w14:textId="77777777" w:rsidR="00CF0848" w:rsidRDefault="00CF0848" w:rsidP="008F758E">
                  <w:pPr>
                    <w:rPr>
                      <w:sz w:val="28"/>
                      <w:lang w:val="ru-RU"/>
                    </w:rPr>
                  </w:pPr>
                </w:p>
                <w:p w14:paraId="35C7447A" w14:textId="77777777" w:rsidR="008F758E" w:rsidRDefault="00531B98" w:rsidP="008F758E">
                  <w:pPr>
                    <w:spacing w:after="150"/>
                    <w:rPr>
                      <w:sz w:val="22"/>
                      <w:szCs w:val="22"/>
                    </w:rPr>
                  </w:pPr>
                  <w:hyperlink r:id="rId8">
                    <w:r w:rsidR="008F758E" w:rsidRPr="006422D0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9">
                    <w:r w:rsidR="008F758E" w:rsidRPr="006422D0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0">
                    <w:r w:rsidR="008F758E" w:rsidRPr="006422D0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8F758E" w:rsidRPr="006422D0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8F758E" w:rsidRPr="006422D0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8F758E" w:rsidRPr="006422D0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8F758E" w:rsidRPr="006422D0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8F758E" w:rsidRPr="006422D0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8F758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8F758E" w:rsidRPr="006422D0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389AC8D3" w14:textId="77777777" w:rsidR="008F758E" w:rsidRDefault="008F758E" w:rsidP="008F758E">
                  <w:pPr>
                    <w:pStyle w:val="a8"/>
                    <w:numPr>
                      <w:ilvl w:val="0"/>
                      <w:numId w:val="1"/>
                    </w:numPr>
                    <w:spacing w:after="15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hyperlink r:id="rId17">
                    <w:r w:rsidRPr="000317A3">
                      <w:rPr>
                        <w:sz w:val="22"/>
                        <w:szCs w:val="22"/>
                      </w:rPr>
                      <w:t xml:space="preserve">до 2000 </w:t>
                    </w:r>
                    <w:proofErr w:type="spellStart"/>
                    <w:r w:rsidRPr="000317A3">
                      <w:rPr>
                        <w:sz w:val="22"/>
                        <w:szCs w:val="22"/>
                      </w:rPr>
                      <w:t>кВт·год</w:t>
                    </w:r>
                    <w:proofErr w:type="spellEnd"/>
                    <w:r w:rsidRPr="000317A3">
                      <w:rPr>
                        <w:sz w:val="22"/>
                        <w:szCs w:val="22"/>
                      </w:rPr>
                      <w:t xml:space="preserve"> спожитої електричної енергії на місяць</w:t>
                    </w:r>
                  </w:hyperlink>
                  <w:r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Pr="000317A3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>
                    <w:rPr>
                      <w:sz w:val="22"/>
                      <w:szCs w:val="22"/>
                    </w:rPr>
                    <w:t>;</w:t>
                  </w:r>
                </w:p>
                <w:p w14:paraId="25170B97" w14:textId="77777777" w:rsidR="008F758E" w:rsidRDefault="008F758E" w:rsidP="008F758E">
                  <w:pPr>
                    <w:pStyle w:val="a8"/>
                    <w:numPr>
                      <w:ilvl w:val="0"/>
                      <w:numId w:val="1"/>
                    </w:numPr>
                    <w:spacing w:after="150"/>
                    <w:ind w:left="0"/>
                    <w:rPr>
                      <w:sz w:val="22"/>
                      <w:szCs w:val="22"/>
                    </w:rPr>
                  </w:pPr>
                </w:p>
                <w:p w14:paraId="5C5DEEC3" w14:textId="00245788" w:rsidR="008F758E" w:rsidRDefault="008F758E" w:rsidP="008F758E">
                  <w:pPr>
                    <w:rPr>
                      <w:sz w:val="28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0317A3">
                      <w:rPr>
                        <w:sz w:val="22"/>
                        <w:szCs w:val="22"/>
                      </w:rPr>
                      <w:t xml:space="preserve">понад 2000 </w:t>
                    </w:r>
                    <w:proofErr w:type="spellStart"/>
                    <w:r w:rsidRPr="000317A3">
                      <w:rPr>
                        <w:sz w:val="22"/>
                        <w:szCs w:val="22"/>
                      </w:rPr>
                      <w:t>кВт·год</w:t>
                    </w:r>
                    <w:proofErr w:type="spellEnd"/>
                    <w:r w:rsidRPr="000317A3">
                      <w:rPr>
                        <w:sz w:val="22"/>
                        <w:szCs w:val="22"/>
                      </w:rPr>
                      <w:t xml:space="preserve"> спожитої електричної енергії на місяць</w:t>
                    </w:r>
                  </w:hyperlink>
                </w:p>
                <w:p w14:paraId="18E8E64F" w14:textId="77777777" w:rsidR="008F758E" w:rsidRPr="008F758E" w:rsidRDefault="008F758E" w:rsidP="008F758E">
                  <w:pPr>
                    <w:rPr>
                      <w:sz w:val="28"/>
                      <w:lang w:val="ru-RU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28C871A" w14:textId="77777777" w:rsidR="00E249B8" w:rsidRDefault="00E249B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64279CBA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5EB472D3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4BA5DEAB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355C340B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D454F62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6CEE1DE4" w14:textId="2DEC3AB2" w:rsidR="00CF0848" w:rsidRDefault="00944B89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14:paraId="05FDABDE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56222C92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7814BA79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61200FCB" w14:textId="0898D8C7" w:rsidR="00CF0848" w:rsidRDefault="00944B89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14:paraId="260ABB0F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04B6FFE6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5C3E9797" w14:textId="0DD44AC5" w:rsidR="008F758E" w:rsidRDefault="00944B89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14:paraId="5DFA31E9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63F7965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443B3E78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1B91737B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69185519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502F7B8A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38BFFD49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0819BAEE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47DC7577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7E236323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BD05689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47C2379D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38B1E57E" w14:textId="00DC6D69" w:rsid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35E13C9" w14:textId="6B29DA2A" w:rsid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EABF5DF" w14:textId="77777777" w:rsid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3FA361ED" w14:textId="635CE94C" w:rsid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14:paraId="1A71FC97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2548162A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302C49D3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7E6EFD92" w14:textId="2E18F241" w:rsid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14:paraId="0E126FD9" w14:textId="74598F34" w:rsidR="00CF0848" w:rsidRPr="008F758E" w:rsidRDefault="008F758E" w:rsidP="008F758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</w:tc>
              <w:tc>
                <w:tcPr>
                  <w:tcW w:w="1083" w:type="dxa"/>
                  <w:vAlign w:val="center"/>
                </w:tcPr>
                <w:p w14:paraId="65603EAC" w14:textId="77777777" w:rsidR="00E249B8" w:rsidRDefault="00E249B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17400F35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0F941662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14:paraId="606EAD96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4E42A134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6D2F1B6F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7CA5063A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14:paraId="61ECD2AF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555B67E7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1BC899A4" w:rsidR="008F758E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14:paraId="289122F7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02758B4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56AC037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6516845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B633B3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DFF14C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F8D1CC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0C16C27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BBEA3DD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FF1B35E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0D6166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F3A64C2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9BAF155" w14:textId="0E384171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335329" w14:textId="0F0A0DD6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0449E6" w14:textId="77777777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1783A" w14:textId="2AD7A0A6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14:paraId="5314662A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B4589BB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06536E8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D3AC35E" w14:textId="15F824D2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A94B27" w14:textId="58B50037" w:rsidR="00CF0848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059" w:type="dxa"/>
                  <w:vAlign w:val="center"/>
                </w:tcPr>
                <w:p w14:paraId="5358C6B9" w14:textId="77777777" w:rsidR="00E249B8" w:rsidRDefault="00E249B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5BE2E019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29BBF89F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14:paraId="7B977268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433C5F78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7E275907" w14:textId="7777777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7C0CF87D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14:paraId="2A8C189D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5B991101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20F70F6D" w14:textId="77777777" w:rsidR="00CF0848" w:rsidRDefault="00CF0848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14:paraId="098F3F44" w14:textId="5CB6E797" w:rsidR="008F758E" w:rsidRDefault="008F758E" w:rsidP="008F758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14:paraId="6E4A0668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233031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F6FFB22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F5BEF5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6269AF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2E932A1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B78FE8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1855482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DE1AE3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EE23FFE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316D2DC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DF6278" w14:textId="1DA3F4E0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93C6E2" w14:textId="77777777" w:rsidR="008F758E" w:rsidRDefault="008F758E" w:rsidP="008F758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35F5FCA3" w14:textId="32D6314C" w:rsidR="008F758E" w:rsidRDefault="008F758E" w:rsidP="008F758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14:paraId="726847A4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9B16AF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0F20361" w14:textId="77777777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E2DF8FD" w14:textId="1F7872F6" w:rsid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ADF0F39" w14:textId="0A57DEF8" w:rsidR="008F758E" w:rsidRPr="008F758E" w:rsidRDefault="008F758E" w:rsidP="008F75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6762FE81" w:rsidR="004F31AB" w:rsidRDefault="004F31AB" w:rsidP="004F31AB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lastRenderedPageBreak/>
              <w:t>Фік</w:t>
            </w:r>
            <w:r w:rsidR="009E3629">
              <w:rPr>
                <w:bCs/>
                <w:sz w:val="22"/>
                <w:szCs w:val="22"/>
              </w:rPr>
              <w:t>со</w:t>
            </w:r>
            <w:r>
              <w:rPr>
                <w:bCs/>
                <w:sz w:val="22"/>
                <w:szCs w:val="22"/>
              </w:rPr>
              <w:t>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 w:rsidR="00B826AA"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="008F758E" w:rsidRPr="008F758E">
              <w:rPr>
                <w:bCs/>
                <w:sz w:val="22"/>
                <w:szCs w:val="22"/>
              </w:rPr>
              <w:t xml:space="preserve">31 жовтня  </w:t>
            </w:r>
            <w:r w:rsidRPr="007C7289">
              <w:rPr>
                <w:bCs/>
                <w:sz w:val="22"/>
                <w:szCs w:val="22"/>
              </w:rPr>
              <w:t>202</w:t>
            </w:r>
            <w:r w:rsidR="00B826AA">
              <w:rPr>
                <w:bCs/>
                <w:sz w:val="22"/>
                <w:szCs w:val="22"/>
              </w:rPr>
              <w:t>5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14:paraId="7A6BDB38" w14:textId="77777777" w:rsidR="00A63747" w:rsidRPr="00A63747" w:rsidRDefault="00A63747" w:rsidP="004F31A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06B2D652" w14:textId="77777777" w:rsidR="00A63747" w:rsidRPr="001266E9" w:rsidRDefault="00A63747" w:rsidP="00A63747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266E9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266E9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266E9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15D4C070" w14:textId="77777777" w:rsidR="00A63747" w:rsidRDefault="00A63747" w:rsidP="00A63747">
            <w:pPr>
              <w:jc w:val="both"/>
              <w:rPr>
                <w:sz w:val="22"/>
                <w:szCs w:val="22"/>
                <w:lang w:val="ru-RU"/>
              </w:rPr>
            </w:pPr>
            <w:r w:rsidRPr="001266E9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</w:t>
            </w:r>
            <w:r w:rsidRPr="003308C3">
              <w:rPr>
                <w:sz w:val="22"/>
                <w:szCs w:val="22"/>
              </w:rPr>
              <w:t xml:space="preserve">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519409A5" w14:textId="77777777" w:rsidR="006E34B5" w:rsidRPr="006E34B5" w:rsidRDefault="006E34B5" w:rsidP="00A63747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4CD353B8" w14:textId="6CD953BD" w:rsidR="00A63747" w:rsidRPr="00BE264C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>Ц</w:t>
            </w:r>
            <w:r w:rsidR="00BE264C" w:rsidRPr="00BE264C">
              <w:rPr>
                <w:b/>
                <w:sz w:val="22"/>
                <w:szCs w:val="22"/>
              </w:rPr>
              <w:t>іна на універсальні послуги для малих непобутових споживачів</w:t>
            </w:r>
            <w:r w:rsidRPr="00BE264C">
              <w:rPr>
                <w:b/>
                <w:sz w:val="22"/>
                <w:szCs w:val="22"/>
              </w:rPr>
              <w:t xml:space="preserve">, електроустановки яких приєднані до мереж АТ "ЧЕРНІГІВОБЛЕНЕРГО" згідно з класом напруги, на </w:t>
            </w:r>
            <w:r w:rsidR="002E02B9" w:rsidRPr="002E02B9">
              <w:rPr>
                <w:b/>
                <w:sz w:val="22"/>
                <w:szCs w:val="22"/>
              </w:rPr>
              <w:t>жовтень</w:t>
            </w:r>
            <w:r w:rsidR="00166B74" w:rsidRPr="00BE264C">
              <w:rPr>
                <w:b/>
                <w:sz w:val="22"/>
                <w:szCs w:val="22"/>
              </w:rPr>
              <w:t xml:space="preserve"> </w:t>
            </w:r>
            <w:r w:rsidRPr="00BE264C">
              <w:rPr>
                <w:b/>
                <w:sz w:val="22"/>
                <w:szCs w:val="22"/>
              </w:rPr>
              <w:t xml:space="preserve">2025 року становить: </w:t>
            </w:r>
          </w:p>
          <w:p w14:paraId="623FA1EB" w14:textId="1A4F3116" w:rsidR="00A63747" w:rsidRPr="0005175D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2360B4">
              <w:rPr>
                <w:b/>
                <w:sz w:val="22"/>
                <w:szCs w:val="22"/>
              </w:rPr>
              <w:t xml:space="preserve"> </w:t>
            </w:r>
            <w:r w:rsidR="002E02B9" w:rsidRPr="002E02B9">
              <w:rPr>
                <w:b/>
                <w:sz w:val="22"/>
                <w:szCs w:val="22"/>
              </w:rPr>
              <w:t>7,08531</w:t>
            </w:r>
            <w:r w:rsidR="002E02B9">
              <w:rPr>
                <w:b/>
                <w:sz w:val="22"/>
                <w:szCs w:val="22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3E3399AD" w14:textId="15C92873" w:rsidR="00A63747" w:rsidRPr="0005175D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2360B4">
              <w:rPr>
                <w:b/>
                <w:sz w:val="22"/>
                <w:szCs w:val="22"/>
              </w:rPr>
              <w:t xml:space="preserve"> </w:t>
            </w:r>
            <w:r w:rsidR="002E02B9" w:rsidRPr="002E02B9">
              <w:rPr>
                <w:b/>
                <w:sz w:val="22"/>
                <w:szCs w:val="22"/>
              </w:rPr>
              <w:t>9,02965</w:t>
            </w:r>
            <w:r w:rsidR="002E02B9">
              <w:rPr>
                <w:b/>
                <w:sz w:val="22"/>
                <w:szCs w:val="22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CAC5C8B" w14:textId="77777777" w:rsidR="00A63747" w:rsidRPr="00B1062B" w:rsidRDefault="00A63747" w:rsidP="00A63747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B6721AE" w14:textId="24F87172" w:rsidR="00A63747" w:rsidRPr="0005175D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</w:t>
            </w:r>
            <w:r w:rsidRPr="0005175D">
              <w:rPr>
                <w:b/>
                <w:sz w:val="22"/>
                <w:szCs w:val="22"/>
              </w:rPr>
              <w:lastRenderedPageBreak/>
              <w:t>електроустановки, яких приєднані до мереж АТ "Укрзалізниця" згідно з класом напруги, на</w:t>
            </w:r>
            <w:r w:rsidR="00CC3E7E">
              <w:rPr>
                <w:b/>
                <w:sz w:val="22"/>
                <w:szCs w:val="22"/>
              </w:rPr>
              <w:t xml:space="preserve"> </w:t>
            </w:r>
            <w:r w:rsidR="002E02B9" w:rsidRPr="002E02B9">
              <w:rPr>
                <w:b/>
                <w:sz w:val="22"/>
                <w:szCs w:val="22"/>
              </w:rPr>
              <w:t>жовтень</w:t>
            </w:r>
            <w:r w:rsidRPr="0005175D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0E83DA3E" w14:textId="3398DBB0" w:rsidR="00A63747" w:rsidRPr="0005175D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2E02B9" w:rsidRPr="002E02B9">
              <w:rPr>
                <w:b/>
                <w:sz w:val="22"/>
                <w:szCs w:val="22"/>
              </w:rPr>
              <w:t>7,01739</w:t>
            </w:r>
            <w:r w:rsidR="002E02B9">
              <w:rPr>
                <w:b/>
                <w:sz w:val="22"/>
                <w:szCs w:val="22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35841AE" w14:textId="072580C5" w:rsidR="00A63747" w:rsidRPr="0005175D" w:rsidRDefault="00A63747" w:rsidP="00A63747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2E02B9" w:rsidRPr="002E02B9">
              <w:rPr>
                <w:b/>
                <w:sz w:val="22"/>
                <w:szCs w:val="22"/>
              </w:rPr>
              <w:t>8,3702</w:t>
            </w:r>
            <w:r w:rsidR="003D3BF8">
              <w:rPr>
                <w:b/>
                <w:sz w:val="22"/>
                <w:szCs w:val="22"/>
              </w:rPr>
              <w:t>0</w:t>
            </w:r>
            <w:bookmarkStart w:id="0" w:name="_GoBack"/>
            <w:bookmarkEnd w:id="0"/>
            <w:r w:rsidR="002E02B9">
              <w:rPr>
                <w:b/>
                <w:sz w:val="22"/>
                <w:szCs w:val="22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1BDCA327" w14:textId="77777777" w:rsidR="00A63747" w:rsidRPr="00A63747" w:rsidRDefault="00A63747" w:rsidP="004F31A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E249B8" w:rsidRPr="004A76BA" w14:paraId="105FF27F" w14:textId="77777777" w:rsidTr="00DD1097">
        <w:trPr>
          <w:trHeight w:val="273"/>
        </w:trPr>
        <w:tc>
          <w:tcPr>
            <w:tcW w:w="3261" w:type="dxa"/>
            <w:shd w:val="clear" w:color="auto" w:fill="auto"/>
          </w:tcPr>
          <w:p w14:paraId="6AAAA7EF" w14:textId="11FFAD44" w:rsidR="00E249B8" w:rsidRPr="0028375E" w:rsidRDefault="0006485A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D1097">
        <w:trPr>
          <w:trHeight w:val="611"/>
        </w:trPr>
        <w:tc>
          <w:tcPr>
            <w:tcW w:w="3261" w:type="dxa"/>
            <w:shd w:val="clear" w:color="auto" w:fill="auto"/>
          </w:tcPr>
          <w:p w14:paraId="4BE6A05E" w14:textId="77777777" w:rsidR="00E249B8" w:rsidRPr="0006485A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D1097">
        <w:trPr>
          <w:trHeight w:val="563"/>
        </w:trPr>
        <w:tc>
          <w:tcPr>
            <w:tcW w:w="3261" w:type="dxa"/>
            <w:shd w:val="clear" w:color="auto" w:fill="auto"/>
          </w:tcPr>
          <w:p w14:paraId="789A3178" w14:textId="28621C5F" w:rsidR="00E249B8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D1097">
        <w:trPr>
          <w:trHeight w:val="561"/>
        </w:trPr>
        <w:tc>
          <w:tcPr>
            <w:tcW w:w="3261" w:type="dxa"/>
            <w:shd w:val="clear" w:color="auto" w:fill="auto"/>
          </w:tcPr>
          <w:p w14:paraId="7AD019A2" w14:textId="7618BE28" w:rsidR="00E249B8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9C4B97" w:rsidRPr="004A76BA" w14:paraId="7AB6EE30" w14:textId="77777777" w:rsidTr="00DD1097">
        <w:trPr>
          <w:trHeight w:val="448"/>
        </w:trPr>
        <w:tc>
          <w:tcPr>
            <w:tcW w:w="3261" w:type="dxa"/>
            <w:shd w:val="clear" w:color="auto" w:fill="auto"/>
          </w:tcPr>
          <w:p w14:paraId="311B384C" w14:textId="6021FE0E" w:rsidR="009C4B97" w:rsidRPr="0006485A" w:rsidRDefault="009C4B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7593" w:type="dxa"/>
            <w:shd w:val="clear" w:color="auto" w:fill="auto"/>
          </w:tcPr>
          <w:p w14:paraId="7C4B9598" w14:textId="3FB78BA1" w:rsidR="009C4B97" w:rsidRPr="00240696" w:rsidRDefault="009C4B9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D1097" w:rsidRPr="004A76BA" w14:paraId="404F2532" w14:textId="77777777" w:rsidTr="00DD1097">
        <w:trPr>
          <w:trHeight w:val="546"/>
        </w:trPr>
        <w:tc>
          <w:tcPr>
            <w:tcW w:w="3261" w:type="dxa"/>
            <w:shd w:val="clear" w:color="auto" w:fill="auto"/>
          </w:tcPr>
          <w:p w14:paraId="56DC9EF2" w14:textId="4476032A" w:rsidR="00DD1097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DD1097" w:rsidRPr="00A40F92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D1097" w:rsidRPr="004A76BA" w14:paraId="20821E0F" w14:textId="77777777" w:rsidTr="00DD1097">
        <w:trPr>
          <w:trHeight w:val="992"/>
        </w:trPr>
        <w:tc>
          <w:tcPr>
            <w:tcW w:w="3261" w:type="dxa"/>
            <w:shd w:val="clear" w:color="auto" w:fill="auto"/>
          </w:tcPr>
          <w:p w14:paraId="3752B42D" w14:textId="5191BD93" w:rsidR="00DD1097" w:rsidRPr="004A76BA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26871776" w14:textId="77777777" w:rsidR="00DD1097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  <w:p w14:paraId="1F3F8DAD" w14:textId="77777777" w:rsidR="0006485A" w:rsidRDefault="0006485A" w:rsidP="0006485A">
            <w:pPr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0364BE33" w14:textId="77777777" w:rsidR="0006485A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ab/>
            </w:r>
          </w:p>
          <w:p w14:paraId="7AD6E0FC" w14:textId="5A72DBBD" w:rsidR="0006485A" w:rsidRPr="0006485A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</w:p>
        </w:tc>
      </w:tr>
      <w:tr w:rsidR="00DD1097" w:rsidRPr="004A76BA" w14:paraId="0F8488D5" w14:textId="77777777" w:rsidTr="00DD1097">
        <w:trPr>
          <w:trHeight w:val="661"/>
        </w:trPr>
        <w:tc>
          <w:tcPr>
            <w:tcW w:w="3261" w:type="dxa"/>
            <w:shd w:val="clear" w:color="auto" w:fill="auto"/>
          </w:tcPr>
          <w:p w14:paraId="3AC7D854" w14:textId="3B192A26" w:rsidR="00DD1097" w:rsidRPr="004A76BA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DD1097" w:rsidRPr="004A76BA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D1097" w:rsidRPr="004A76BA" w14:paraId="0012C629" w14:textId="77777777" w:rsidTr="00DD1097">
        <w:trPr>
          <w:trHeight w:val="699"/>
        </w:trPr>
        <w:tc>
          <w:tcPr>
            <w:tcW w:w="3261" w:type="dxa"/>
            <w:shd w:val="clear" w:color="auto" w:fill="auto"/>
          </w:tcPr>
          <w:p w14:paraId="6A821E9B" w14:textId="0FE12775" w:rsidR="00DD1097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1CDD083D" w14:textId="03DFCD33" w:rsidR="00DD1097" w:rsidRPr="004A76BA" w:rsidRDefault="009C4B9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«_______» ____________ 20        </w:t>
            </w:r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D1097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4C5882E2" w:rsidR="00DD1097" w:rsidRPr="004A76BA" w:rsidRDefault="00DD1097" w:rsidP="000E0FD7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>Керуючись ч. 3 ст. 6</w:t>
            </w:r>
            <w:r>
              <w:rPr>
                <w:sz w:val="22"/>
                <w:szCs w:val="22"/>
              </w:rPr>
              <w:t xml:space="preserve">31 Цивільного кодексу України, </w:t>
            </w:r>
            <w:r w:rsidRPr="004A76BA">
              <w:rPr>
                <w:sz w:val="22"/>
                <w:szCs w:val="22"/>
              </w:rPr>
              <w:t>Сторони домови</w:t>
            </w:r>
            <w:r>
              <w:rPr>
                <w:sz w:val="22"/>
                <w:szCs w:val="22"/>
              </w:rPr>
              <w:t xml:space="preserve">лись, що умови даного Договору </w:t>
            </w:r>
            <w:r w:rsidRPr="004A76BA">
              <w:rPr>
                <w:sz w:val="22"/>
                <w:szCs w:val="22"/>
              </w:rPr>
              <w:t xml:space="preserve">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>з __________________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D1097" w:rsidRPr="004A76BA" w14:paraId="3490A24F" w14:textId="77777777" w:rsidTr="00DD1097">
        <w:trPr>
          <w:trHeight w:val="546"/>
        </w:trPr>
        <w:tc>
          <w:tcPr>
            <w:tcW w:w="3261" w:type="dxa"/>
            <w:shd w:val="clear" w:color="auto" w:fill="auto"/>
          </w:tcPr>
          <w:p w14:paraId="6B48B476" w14:textId="207A7DF3" w:rsidR="00DD1097" w:rsidRPr="0006485A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7593" w:type="dxa"/>
            <w:shd w:val="clear" w:color="auto" w:fill="auto"/>
          </w:tcPr>
          <w:p w14:paraId="5F3FFB18" w14:textId="77777777" w:rsidR="00DD1097" w:rsidRPr="004A76BA" w:rsidRDefault="00DD109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D1097" w:rsidRPr="004A76BA" w14:paraId="59103D6B" w14:textId="77777777" w:rsidTr="00DD1097">
        <w:trPr>
          <w:trHeight w:val="546"/>
        </w:trPr>
        <w:tc>
          <w:tcPr>
            <w:tcW w:w="3261" w:type="dxa"/>
            <w:shd w:val="clear" w:color="auto" w:fill="auto"/>
          </w:tcPr>
          <w:p w14:paraId="2BAF7B54" w14:textId="77777777" w:rsidR="00DD1097" w:rsidRPr="0006485A" w:rsidRDefault="00DD1097" w:rsidP="0006485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77777777" w:rsidR="00DD1097" w:rsidRPr="0028375E" w:rsidRDefault="00DD1097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D1097" w:rsidRPr="004A76BA" w14:paraId="6D85D407" w14:textId="77777777" w:rsidTr="00DD1097">
        <w:trPr>
          <w:trHeight w:val="546"/>
        </w:trPr>
        <w:tc>
          <w:tcPr>
            <w:tcW w:w="3261" w:type="dxa"/>
            <w:shd w:val="clear" w:color="auto" w:fill="auto"/>
          </w:tcPr>
          <w:p w14:paraId="5F112722" w14:textId="77777777" w:rsidR="00DD1097" w:rsidRPr="001A0BA0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DD1097" w:rsidRPr="001A0BA0" w:rsidRDefault="00DD1097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D1097" w:rsidRPr="001A0BA0" w:rsidRDefault="00DD1097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D1097" w:rsidRPr="001A0BA0" w:rsidRDefault="00DD1097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D1097" w:rsidRPr="00A41BFD" w:rsidRDefault="00DD1097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D1097" w:rsidRPr="00A41BFD" w:rsidRDefault="00DD1097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D1097" w:rsidRPr="00A41BFD" w:rsidRDefault="00DD1097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D1097" w:rsidRPr="001A0BA0" w:rsidRDefault="00DD1097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D1097" w:rsidRPr="004A76BA" w14:paraId="7E4D9216" w14:textId="77777777" w:rsidTr="00DD1097">
        <w:trPr>
          <w:trHeight w:val="546"/>
        </w:trPr>
        <w:tc>
          <w:tcPr>
            <w:tcW w:w="3261" w:type="dxa"/>
            <w:shd w:val="clear" w:color="auto" w:fill="auto"/>
          </w:tcPr>
          <w:p w14:paraId="4224091A" w14:textId="77777777" w:rsidR="00DD1097" w:rsidRPr="0006485A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0648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DD1097" w:rsidRPr="00A06953" w:rsidRDefault="00DD1097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D1097" w:rsidRPr="00A06953" w:rsidRDefault="00DD1097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D1097" w:rsidRPr="00A06953" w:rsidRDefault="00DD1097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D1097" w:rsidRPr="00B0020B" w:rsidRDefault="00DD1097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D1097" w:rsidRPr="00A06953" w:rsidRDefault="00DD1097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71665812" w14:textId="52268F82" w:rsidR="00DD1097" w:rsidRPr="00A06953" w:rsidRDefault="00DD1097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78"/>
      </w:tblGrid>
      <w:tr w:rsidR="0006485A" w:rsidRPr="00A130F1" w14:paraId="08F5AA5C" w14:textId="77777777" w:rsidTr="0006485A">
        <w:tc>
          <w:tcPr>
            <w:tcW w:w="5378" w:type="dxa"/>
            <w:shd w:val="clear" w:color="auto" w:fill="auto"/>
          </w:tcPr>
          <w:p w14:paraId="71594695" w14:textId="453202F3" w:rsidR="0006485A" w:rsidRPr="001A0BA0" w:rsidRDefault="0006485A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57B7CAD" w14:textId="77777777" w:rsidR="0006485A" w:rsidRDefault="0006485A" w:rsidP="0006485A">
      <w:r>
        <w:t>Постачальник:</w:t>
      </w:r>
    </w:p>
    <w:p w14:paraId="5D6ACD71" w14:textId="77777777" w:rsidR="0006485A" w:rsidRPr="00E249B8" w:rsidRDefault="0006485A" w:rsidP="0006485A">
      <w:r>
        <w:t>ТОВ «ЕНЕРА ЧЕРНІГІВ»</w:t>
      </w:r>
    </w:p>
    <w:p w14:paraId="23629A45" w14:textId="78528395" w:rsidR="00FD2CD4" w:rsidRPr="0006485A" w:rsidRDefault="00FD2CD4" w:rsidP="0006485A">
      <w:pPr>
        <w:rPr>
          <w:lang w:val="ru-RU"/>
        </w:rPr>
      </w:pPr>
    </w:p>
    <w:sectPr w:rsidR="00FD2CD4" w:rsidRPr="0006485A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1A4DF" w14:textId="77777777" w:rsidR="00531B98" w:rsidRDefault="00531B98" w:rsidP="0006485A">
      <w:r>
        <w:separator/>
      </w:r>
    </w:p>
  </w:endnote>
  <w:endnote w:type="continuationSeparator" w:id="0">
    <w:p w14:paraId="4AFE7969" w14:textId="77777777" w:rsidR="00531B98" w:rsidRDefault="00531B98" w:rsidP="000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52154" w14:textId="77777777" w:rsidR="00531B98" w:rsidRDefault="00531B98" w:rsidP="0006485A">
      <w:r>
        <w:separator/>
      </w:r>
    </w:p>
  </w:footnote>
  <w:footnote w:type="continuationSeparator" w:id="0">
    <w:p w14:paraId="011E1A35" w14:textId="77777777" w:rsidR="00531B98" w:rsidRDefault="00531B98" w:rsidP="0006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148D"/>
    <w:rsid w:val="00016988"/>
    <w:rsid w:val="00041649"/>
    <w:rsid w:val="0005175D"/>
    <w:rsid w:val="0006485A"/>
    <w:rsid w:val="00066B51"/>
    <w:rsid w:val="000B0A61"/>
    <w:rsid w:val="000E0FD7"/>
    <w:rsid w:val="000F2239"/>
    <w:rsid w:val="001266E9"/>
    <w:rsid w:val="001319C0"/>
    <w:rsid w:val="00133A3F"/>
    <w:rsid w:val="00133ACE"/>
    <w:rsid w:val="00166B74"/>
    <w:rsid w:val="00186747"/>
    <w:rsid w:val="0020329F"/>
    <w:rsid w:val="002360B4"/>
    <w:rsid w:val="002C6A2E"/>
    <w:rsid w:val="002E02B9"/>
    <w:rsid w:val="002E48D9"/>
    <w:rsid w:val="00302D26"/>
    <w:rsid w:val="003311A3"/>
    <w:rsid w:val="003408FF"/>
    <w:rsid w:val="00375BBB"/>
    <w:rsid w:val="003B0EE6"/>
    <w:rsid w:val="003D3BF8"/>
    <w:rsid w:val="00493544"/>
    <w:rsid w:val="004A63B2"/>
    <w:rsid w:val="004D4E7A"/>
    <w:rsid w:val="004E064A"/>
    <w:rsid w:val="004F31AB"/>
    <w:rsid w:val="00531B98"/>
    <w:rsid w:val="005A0CB0"/>
    <w:rsid w:val="00616ABC"/>
    <w:rsid w:val="0061794A"/>
    <w:rsid w:val="006278C5"/>
    <w:rsid w:val="006537FE"/>
    <w:rsid w:val="0067509A"/>
    <w:rsid w:val="0069634C"/>
    <w:rsid w:val="006E34B5"/>
    <w:rsid w:val="007064C4"/>
    <w:rsid w:val="0075360D"/>
    <w:rsid w:val="00791695"/>
    <w:rsid w:val="007B72AE"/>
    <w:rsid w:val="007E2E82"/>
    <w:rsid w:val="007E49A9"/>
    <w:rsid w:val="007F0278"/>
    <w:rsid w:val="0080599D"/>
    <w:rsid w:val="008F758E"/>
    <w:rsid w:val="0091579C"/>
    <w:rsid w:val="00944B89"/>
    <w:rsid w:val="00945F7E"/>
    <w:rsid w:val="009C4B97"/>
    <w:rsid w:val="009E3629"/>
    <w:rsid w:val="00A006F7"/>
    <w:rsid w:val="00A14402"/>
    <w:rsid w:val="00A335B2"/>
    <w:rsid w:val="00A63747"/>
    <w:rsid w:val="00A92E7E"/>
    <w:rsid w:val="00AD4B9D"/>
    <w:rsid w:val="00B8035C"/>
    <w:rsid w:val="00B826AA"/>
    <w:rsid w:val="00BD2178"/>
    <w:rsid w:val="00BE264C"/>
    <w:rsid w:val="00C63440"/>
    <w:rsid w:val="00CC3E7E"/>
    <w:rsid w:val="00CE315B"/>
    <w:rsid w:val="00CF0848"/>
    <w:rsid w:val="00D31B8D"/>
    <w:rsid w:val="00D873DB"/>
    <w:rsid w:val="00D9182C"/>
    <w:rsid w:val="00D9387D"/>
    <w:rsid w:val="00DB7FF1"/>
    <w:rsid w:val="00DD1097"/>
    <w:rsid w:val="00E04748"/>
    <w:rsid w:val="00E126F7"/>
    <w:rsid w:val="00E249B8"/>
    <w:rsid w:val="00E862E0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F7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F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51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41479?ed=2024_12_20&amp;an=5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KP241479?ed=2024_12_20&amp;an=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KP241479?ed=2024_12_20&amp;an=51" TargetMode="Externa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5_037?ed=2025_01_17&amp;an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KP241479?ed=2024_12_20&amp;an=51" TargetMode="External"/><Relationship Id="rId14" Type="http://schemas.openxmlformats.org/officeDocument/2006/relationships/hyperlink" Target="https://zakon-pro.ligazakon.net/document/KP250480?ed=2025_04_29&amp;an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7450</Words>
  <Characters>4247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3</cp:revision>
  <dcterms:created xsi:type="dcterms:W3CDTF">2025-09-10T11:35:00Z</dcterms:created>
  <dcterms:modified xsi:type="dcterms:W3CDTF">2025-09-10T12:48:00Z</dcterms:modified>
</cp:coreProperties>
</file>