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3155" w14:textId="1D570377" w:rsidR="000E0FD7" w:rsidRDefault="000E0FD7" w:rsidP="000E0FD7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5E2A71A7" w14:textId="77777777" w:rsidR="000E0FD7" w:rsidRDefault="000E0FD7" w:rsidP="000E0FD7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00858E5D" w14:textId="3AEE24F9" w:rsidR="00E249B8" w:rsidRPr="004A76BA" w:rsidRDefault="00E249B8" w:rsidP="000E0FD7">
      <w:pPr>
        <w:tabs>
          <w:tab w:val="left" w:pos="1695"/>
        </w:tabs>
        <w:rPr>
          <w:sz w:val="22"/>
          <w:szCs w:val="22"/>
        </w:rPr>
      </w:pPr>
    </w:p>
    <w:p w14:paraId="1EB347F3" w14:textId="6650289D" w:rsidR="00E249B8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1266E9" w:rsidRPr="0005175D">
        <w:rPr>
          <w:b/>
          <w:sz w:val="22"/>
          <w:szCs w:val="22"/>
        </w:rPr>
        <w:t>8</w:t>
      </w:r>
      <w:r w:rsidR="00A63747" w:rsidRPr="00A63747">
        <w:rPr>
          <w:b/>
          <w:sz w:val="22"/>
          <w:szCs w:val="22"/>
        </w:rPr>
        <w:t>У</w:t>
      </w:r>
      <w:r w:rsidR="00A63747" w:rsidRPr="0005175D">
        <w:rPr>
          <w:b/>
          <w:sz w:val="22"/>
          <w:szCs w:val="22"/>
        </w:rPr>
        <w:t>Е</w:t>
      </w:r>
      <w:r w:rsidR="00A63747" w:rsidRPr="00A63747">
        <w:rPr>
          <w:b/>
          <w:sz w:val="22"/>
          <w:szCs w:val="22"/>
        </w:rPr>
        <w:t>нп</w:t>
      </w:r>
    </w:p>
    <w:p w14:paraId="3D317676" w14:textId="77777777" w:rsidR="0005175D" w:rsidRPr="00026C4E" w:rsidRDefault="0005175D" w:rsidP="0005175D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5EDBF7AA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58FB1C4" w14:textId="44C02870" w:rsidR="00E249B8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1ADC2C67" w14:textId="77777777" w:rsidR="0006485A" w:rsidRPr="004A76BA" w:rsidRDefault="0006485A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108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93"/>
      </w:tblGrid>
      <w:tr w:rsidR="00E249B8" w:rsidRPr="004A76BA" w14:paraId="12A1991A" w14:textId="77777777" w:rsidTr="00DD1097">
        <w:trPr>
          <w:trHeight w:val="273"/>
        </w:trPr>
        <w:tc>
          <w:tcPr>
            <w:tcW w:w="3261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7593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DD1097">
        <w:trPr>
          <w:trHeight w:val="273"/>
        </w:trPr>
        <w:tc>
          <w:tcPr>
            <w:tcW w:w="3261" w:type="dxa"/>
            <w:shd w:val="clear" w:color="auto" w:fill="auto"/>
          </w:tcPr>
          <w:p w14:paraId="5C7B2F6B" w14:textId="77777777" w:rsidR="00E249B8" w:rsidRPr="0006485A" w:rsidRDefault="00E249B8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7593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CFAE836" w:rsidR="00E249B8" w:rsidRPr="00D1202E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н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аявний Комерційний облік електричної енергії, що забезпечує можливість застосування цін (тарифів) передбачених даною Комерційною пропозицією; </w:t>
            </w:r>
          </w:p>
          <w:p w14:paraId="69D03DD5" w14:textId="0D3B8961" w:rsidR="00A335B2" w:rsidRPr="001266E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A63747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об’єкт споживача передбачає споживання електричної енергії для побутових та непобутових  потреб;  </w:t>
            </w:r>
          </w:p>
          <w:p w14:paraId="0BEFC558" w14:textId="10008253" w:rsidR="00E249B8" w:rsidRPr="001266E9" w:rsidRDefault="00A335B2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E249B8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63747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="0001148D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улаштований стаціонарною системою </w:t>
            </w:r>
            <w:proofErr w:type="spellStart"/>
            <w:r w:rsidR="0001148D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електроопалення</w:t>
            </w:r>
            <w:proofErr w:type="spellEnd"/>
            <w:r w:rsidR="0001148D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; </w:t>
            </w:r>
          </w:p>
          <w:p w14:paraId="087273A0" w14:textId="60B9DCF2" w:rsidR="00E249B8" w:rsidRPr="00D1202E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б’єкт споживача приєднаний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мереж оператора системи у встановленому законодавством порядку; </w:t>
            </w:r>
          </w:p>
          <w:p w14:paraId="3906EB26" w14:textId="77D17539" w:rsidR="00A335B2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C8B204C" w14:textId="1F125853" w:rsidR="006278C5" w:rsidRPr="00D1202E" w:rsidRDefault="006278C5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hyperlink r:id="rId8">
              <w:r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відсутні</w:t>
              </w:r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сть газифікації багатоквартирних будинк</w:t>
              </w:r>
              <w:r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ів та відсутність</w:t>
              </w:r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або </w:t>
              </w:r>
              <w:proofErr w:type="spellStart"/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нефункціонування</w:t>
              </w:r>
              <w:proofErr w:type="spellEnd"/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в зазначених будинках систем</w:t>
              </w:r>
            </w:hyperlink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9"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централізованого теплопостачання або систем автономного теплопостачання, які використовують будь-які види енергоносіїв, крім</w:t>
              </w:r>
            </w:hyperlink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10"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електричної </w:t>
              </w:r>
              <w:r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енергії;</w:t>
              </w:r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</w:t>
              </w:r>
            </w:hyperlink>
          </w:p>
          <w:p w14:paraId="55B19795" w14:textId="479133C7" w:rsidR="00E249B8" w:rsidRPr="00D1202E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DD1097">
        <w:trPr>
          <w:trHeight w:val="1833"/>
        </w:trPr>
        <w:tc>
          <w:tcPr>
            <w:tcW w:w="3261" w:type="dxa"/>
            <w:shd w:val="clear" w:color="auto" w:fill="auto"/>
          </w:tcPr>
          <w:p w14:paraId="40F5FCB6" w14:textId="359E090D" w:rsidR="00E249B8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 w:eastAsia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7593" w:type="dxa"/>
            <w:shd w:val="clear" w:color="auto" w:fill="auto"/>
          </w:tcPr>
          <w:p w14:paraId="7521BF7C" w14:textId="188200EF" w:rsidR="00E249B8" w:rsidRPr="0006485A" w:rsidRDefault="004F31AB" w:rsidP="00847F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Постачання електричної енергії здійснюється за фіксованою ціною на електричну енергію, </w:t>
            </w:r>
            <w:r w:rsidR="00E249B8" w:rsidRPr="00D1202E">
              <w:rPr>
                <w:sz w:val="22"/>
                <w:szCs w:val="22"/>
              </w:rPr>
              <w:t>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="00E249B8"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="00E249B8"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 w:rsidR="00E249B8">
              <w:rPr>
                <w:sz w:val="22"/>
                <w:szCs w:val="22"/>
              </w:rPr>
              <w:t xml:space="preserve">стрів України від </w:t>
            </w:r>
            <w:r w:rsidR="008F758E" w:rsidRPr="008F758E">
              <w:rPr>
                <w:sz w:val="22"/>
                <w:szCs w:val="22"/>
              </w:rPr>
              <w:t>29 квітня 2025 року № 480</w:t>
            </w:r>
            <w:r w:rsidR="00E249B8" w:rsidRPr="00D1202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E249B8" w:rsidRPr="00D1202E">
              <w:rPr>
                <w:sz w:val="22"/>
                <w:szCs w:val="22"/>
              </w:rPr>
              <w:t xml:space="preserve"> </w:t>
            </w:r>
            <w:r w:rsidR="00A63747" w:rsidRPr="001266E9">
              <w:rPr>
                <w:sz w:val="22"/>
                <w:szCs w:val="22"/>
              </w:rPr>
              <w:t xml:space="preserve"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</w:t>
            </w:r>
            <w:r w:rsidRPr="001266E9">
              <w:rPr>
                <w:sz w:val="22"/>
                <w:szCs w:val="22"/>
              </w:rPr>
              <w:t>а саме: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1"/>
              <w:gridCol w:w="1369"/>
              <w:gridCol w:w="1475"/>
              <w:gridCol w:w="1442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4BA12483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125F7A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="00186747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F758E">
              <w:tc>
                <w:tcPr>
                  <w:tcW w:w="2188" w:type="dxa"/>
                  <w:hideMark/>
                </w:tcPr>
                <w:p w14:paraId="237CE287" w14:textId="3F5B48DB" w:rsidR="00E249B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CF0848">
                    <w:rPr>
                      <w:sz w:val="22"/>
                      <w:szCs w:val="22"/>
                    </w:rPr>
                    <w:t xml:space="preserve">Для індивідуальних та колективних побутових споживачів, які проживають в житлових будинках (у тому числі в житлових будинках </w:t>
                  </w:r>
                  <w:r w:rsidRPr="00CF0848">
                    <w:rPr>
                      <w:sz w:val="22"/>
                      <w:szCs w:val="22"/>
                    </w:rPr>
                    <w:lastRenderedPageBreak/>
                    <w:t>готельного типу, квартирах), обл</w:t>
                  </w:r>
                  <w:r w:rsidR="00A335B2">
                    <w:rPr>
                      <w:sz w:val="22"/>
                      <w:szCs w:val="22"/>
                    </w:rPr>
                    <w:t xml:space="preserve">аднаних в установленому порядку </w:t>
                  </w:r>
                  <w:proofErr w:type="spellStart"/>
                  <w:r w:rsidRPr="00A335B2">
                    <w:rPr>
                      <w:sz w:val="22"/>
                      <w:szCs w:val="22"/>
                    </w:rPr>
                    <w:t>електроопалювальними</w:t>
                  </w:r>
                  <w:proofErr w:type="spellEnd"/>
                  <w:r w:rsidRPr="00A335B2">
                    <w:rPr>
                      <w:sz w:val="22"/>
                      <w:szCs w:val="22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</w:rPr>
                    <w:t>установками:</w:t>
                  </w:r>
                </w:p>
                <w:p w14:paraId="16AFA1BB" w14:textId="5BE75E86" w:rsidR="00CF084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CF0848">
                    <w:rPr>
                      <w:sz w:val="22"/>
                      <w:szCs w:val="22"/>
                    </w:rPr>
                    <w:t xml:space="preserve">у період з 1 </w:t>
                  </w:r>
                  <w:r w:rsidR="008F758E">
                    <w:rPr>
                      <w:sz w:val="22"/>
                      <w:szCs w:val="22"/>
                    </w:rPr>
                    <w:t>травня</w:t>
                  </w:r>
                  <w:r w:rsidRPr="00CF0848">
                    <w:rPr>
                      <w:sz w:val="22"/>
                      <w:szCs w:val="22"/>
                    </w:rPr>
                    <w:t xml:space="preserve"> по 30 вересня (включно);</w:t>
                  </w:r>
                </w:p>
                <w:p w14:paraId="24D167C9" w14:textId="32F258E8" w:rsidR="00CF084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  <w:lang w:val="ru-RU"/>
                    </w:rPr>
                  </w:pPr>
                  <w:r w:rsidRPr="00CF0848">
                    <w:rPr>
                      <w:sz w:val="22"/>
                      <w:szCs w:val="22"/>
                      <w:lang w:val="ru-RU"/>
                    </w:rPr>
                    <w:t>у</w:t>
                  </w:r>
                  <w:r w:rsidRPr="00CF0848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період</w:t>
                  </w:r>
                  <w:proofErr w:type="spellEnd"/>
                  <w:r w:rsidRPr="00CF0848">
                    <w:rPr>
                      <w:spacing w:val="-5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з</w:t>
                  </w:r>
                  <w:r w:rsidRPr="00CF0848">
                    <w:rPr>
                      <w:spacing w:val="-5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1</w:t>
                  </w:r>
                  <w:r w:rsidRPr="00CF0848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жовтня</w:t>
                  </w:r>
                  <w:proofErr w:type="spellEnd"/>
                  <w:r w:rsidRPr="00CF0848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по</w:t>
                  </w:r>
                  <w:r w:rsidRPr="00CF0848">
                    <w:rPr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30</w:t>
                  </w:r>
                  <w:r w:rsidRPr="00CF0848">
                    <w:rPr>
                      <w:spacing w:val="-12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квітня</w:t>
                  </w:r>
                  <w:proofErr w:type="spellEnd"/>
                  <w:r w:rsidRPr="00CF0848">
                    <w:rPr>
                      <w:spacing w:val="-13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(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включно</w:t>
                  </w:r>
                  <w:proofErr w:type="spellEnd"/>
                  <w:r w:rsidRPr="00CF0848">
                    <w:rPr>
                      <w:sz w:val="22"/>
                      <w:szCs w:val="22"/>
                      <w:lang w:val="ru-RU"/>
                    </w:rPr>
                    <w:t>):</w:t>
                  </w:r>
                </w:p>
                <w:p w14:paraId="436C2FF0" w14:textId="0A96D914" w:rsidR="00CF084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CF0848">
                    <w:rPr>
                      <w:sz w:val="22"/>
                      <w:szCs w:val="22"/>
                    </w:rPr>
                    <w:t xml:space="preserve">- до 2000 </w:t>
                  </w:r>
                  <w:proofErr w:type="spellStart"/>
                  <w:r w:rsidRPr="00CF0848">
                    <w:rPr>
                      <w:sz w:val="22"/>
                      <w:szCs w:val="22"/>
                    </w:rPr>
                    <w:t>кВт∙год</w:t>
                  </w:r>
                  <w:proofErr w:type="spellEnd"/>
                  <w:r w:rsidRPr="00CF0848">
                    <w:rPr>
                      <w:sz w:val="22"/>
                      <w:szCs w:val="22"/>
                    </w:rPr>
                    <w:t xml:space="preserve"> спожитої електричної енергії на місяць (включно, за весь обсяг споживання);</w:t>
                  </w:r>
                </w:p>
                <w:p w14:paraId="64A65603" w14:textId="116C60C1" w:rsidR="008F758E" w:rsidRDefault="00CF0848" w:rsidP="004A63B2">
                  <w:pPr>
                    <w:spacing w:before="150" w:after="150"/>
                    <w:rPr>
                      <w:sz w:val="28"/>
                      <w:lang w:val="ru-RU"/>
                    </w:rPr>
                  </w:pPr>
                  <w:r w:rsidRPr="00CF0848">
                    <w:rPr>
                      <w:sz w:val="22"/>
                      <w:szCs w:val="22"/>
                      <w:lang w:val="ru-RU"/>
                    </w:rPr>
                    <w:t>-</w:t>
                  </w:r>
                  <w:r w:rsidRPr="00CF0848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понад</w:t>
                  </w:r>
                  <w:proofErr w:type="spellEnd"/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pacing w:val="-9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2000</w:t>
                  </w:r>
                  <w:r w:rsidRPr="00CF0848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pacing w:val="-1"/>
                      <w:sz w:val="22"/>
                      <w:szCs w:val="22"/>
                      <w:lang w:val="ru-RU"/>
                    </w:rPr>
                    <w:t>кВт∙год</w:t>
                  </w:r>
                  <w:proofErr w:type="spellEnd"/>
                  <w:r w:rsidRPr="00CF0848">
                    <w:rPr>
                      <w:spacing w:val="25"/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спожитої</w:t>
                  </w:r>
                  <w:proofErr w:type="spellEnd"/>
                  <w:r w:rsidRPr="00CF0848">
                    <w:rPr>
                      <w:spacing w:val="-26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електричної</w:t>
                  </w:r>
                  <w:proofErr w:type="spellEnd"/>
                  <w:r w:rsidRPr="00CF0848">
                    <w:rPr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енергії</w:t>
                  </w:r>
                  <w:proofErr w:type="spellEnd"/>
                  <w:r w:rsidRPr="00CF0848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на</w:t>
                  </w:r>
                  <w:r w:rsidRPr="00CF0848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CF0848">
                    <w:rPr>
                      <w:sz w:val="22"/>
                      <w:szCs w:val="22"/>
                      <w:lang w:val="ru-RU"/>
                    </w:rPr>
                    <w:t>м</w:t>
                  </w:r>
                  <w:proofErr w:type="gramEnd"/>
                  <w:r w:rsidRPr="00CF0848">
                    <w:rPr>
                      <w:sz w:val="22"/>
                      <w:szCs w:val="22"/>
                      <w:lang w:val="ru-RU"/>
                    </w:rPr>
                    <w:t>ісяць</w:t>
                  </w:r>
                  <w:proofErr w:type="spellEnd"/>
                  <w:r w:rsidR="004A63B2">
                    <w:rPr>
                      <w:spacing w:val="-8"/>
                      <w:sz w:val="22"/>
                      <w:szCs w:val="22"/>
                      <w:lang w:val="ru-RU"/>
                    </w:rPr>
                    <w:t>.</w:t>
                  </w:r>
                </w:p>
                <w:p w14:paraId="15EA6629" w14:textId="77777777" w:rsidR="00CF0848" w:rsidRDefault="00CF0848" w:rsidP="008F758E">
                  <w:pPr>
                    <w:rPr>
                      <w:sz w:val="28"/>
                      <w:lang w:val="ru-RU"/>
                    </w:rPr>
                  </w:pPr>
                </w:p>
                <w:p w14:paraId="35C7447A" w14:textId="77777777" w:rsidR="008F758E" w:rsidRDefault="002360B4" w:rsidP="008F758E">
                  <w:pPr>
                    <w:spacing w:after="150"/>
                    <w:rPr>
                      <w:sz w:val="22"/>
                      <w:szCs w:val="22"/>
                    </w:rPr>
                  </w:pPr>
                  <w:hyperlink r:id="rId11">
                    <w:r w:rsidR="008F758E" w:rsidRPr="006422D0">
                      <w:rPr>
                        <w:sz w:val="22"/>
                        <w:szCs w:val="22"/>
                      </w:rPr>
                      <w:t>Для побутових споживачів, які проживають у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2">
                    <w:r w:rsidR="008F758E" w:rsidRPr="006422D0">
                      <w:rPr>
                        <w:sz w:val="22"/>
                        <w:szCs w:val="22"/>
                      </w:rPr>
                      <w:t>багатоквартирних будинках, що не газифіковані і в яких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3">
                    <w:r w:rsidR="008F758E" w:rsidRPr="006422D0">
                      <w:rPr>
                        <w:sz w:val="22"/>
                        <w:szCs w:val="22"/>
                      </w:rPr>
                      <w:t>відсутні або не функціонують системи централізованого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4">
                    <w:r w:rsidR="008F758E" w:rsidRPr="006422D0">
                      <w:rPr>
                        <w:sz w:val="22"/>
                        <w:szCs w:val="22"/>
                      </w:rPr>
                      <w:t>теплопостачання або системи автономного теплопостачання,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5">
                    <w:r w:rsidR="008F758E" w:rsidRPr="006422D0">
                      <w:rPr>
                        <w:sz w:val="22"/>
                        <w:szCs w:val="22"/>
                      </w:rPr>
                      <w:t>які використовують будь-які види енергоносіїв, крім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6">
                    <w:r w:rsidR="008F758E" w:rsidRPr="006422D0">
                      <w:rPr>
                        <w:sz w:val="22"/>
                        <w:szCs w:val="22"/>
                      </w:rPr>
                      <w:t>електричної енергії, у період з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7">
                    <w:r w:rsidR="008F758E" w:rsidRPr="006422D0">
                      <w:rPr>
                        <w:sz w:val="22"/>
                        <w:szCs w:val="22"/>
                      </w:rPr>
                      <w:t>1 жовтня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8">
                    <w:r w:rsidR="008F758E" w:rsidRPr="006422D0">
                      <w:rPr>
                        <w:sz w:val="22"/>
                        <w:szCs w:val="22"/>
                      </w:rPr>
                      <w:t>по 30 квітня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9">
                    <w:r w:rsidR="008F758E" w:rsidRPr="006422D0">
                      <w:rPr>
                        <w:sz w:val="22"/>
                        <w:szCs w:val="22"/>
                      </w:rPr>
                      <w:t>(включно):</w:t>
                    </w:r>
                  </w:hyperlink>
                </w:p>
                <w:p w14:paraId="389AC8D3" w14:textId="77777777" w:rsidR="008F758E" w:rsidRDefault="008F758E" w:rsidP="008F758E">
                  <w:pPr>
                    <w:pStyle w:val="a8"/>
                    <w:numPr>
                      <w:ilvl w:val="0"/>
                      <w:numId w:val="1"/>
                    </w:numPr>
                    <w:spacing w:after="150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hyperlink r:id="rId20">
                    <w:r w:rsidRPr="000317A3">
                      <w:rPr>
                        <w:sz w:val="22"/>
                        <w:szCs w:val="22"/>
                      </w:rPr>
                      <w:t xml:space="preserve">до 2000 </w:t>
                    </w:r>
                    <w:proofErr w:type="spellStart"/>
                    <w:r w:rsidRPr="000317A3">
                      <w:rPr>
                        <w:sz w:val="22"/>
                        <w:szCs w:val="22"/>
                      </w:rPr>
                      <w:t>кВт·год</w:t>
                    </w:r>
                    <w:proofErr w:type="spellEnd"/>
                    <w:r w:rsidRPr="000317A3">
                      <w:rPr>
                        <w:sz w:val="22"/>
                        <w:szCs w:val="22"/>
                      </w:rPr>
                      <w:t xml:space="preserve"> спожитої електричної енергії на місяць</w:t>
                    </w:r>
                  </w:hyperlink>
                  <w:r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21">
                    <w:r w:rsidRPr="000317A3">
                      <w:rPr>
                        <w:sz w:val="22"/>
                        <w:szCs w:val="22"/>
                      </w:rPr>
                      <w:t>(включно, за весь обсяг споживання)</w:t>
                    </w:r>
                  </w:hyperlink>
                  <w:r>
                    <w:rPr>
                      <w:sz w:val="22"/>
                      <w:szCs w:val="22"/>
                    </w:rPr>
                    <w:t>;</w:t>
                  </w:r>
                </w:p>
                <w:p w14:paraId="25170B97" w14:textId="77777777" w:rsidR="008F758E" w:rsidRDefault="008F758E" w:rsidP="008F758E">
                  <w:pPr>
                    <w:pStyle w:val="a8"/>
                    <w:numPr>
                      <w:ilvl w:val="0"/>
                      <w:numId w:val="1"/>
                    </w:numPr>
                    <w:spacing w:after="150"/>
                    <w:ind w:left="0"/>
                    <w:rPr>
                      <w:sz w:val="22"/>
                      <w:szCs w:val="22"/>
                    </w:rPr>
                  </w:pPr>
                </w:p>
                <w:p w14:paraId="5C5DEEC3" w14:textId="00245788" w:rsidR="008F758E" w:rsidRDefault="008F758E" w:rsidP="008F758E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hyperlink r:id="rId22">
                    <w:r w:rsidRPr="000317A3">
                      <w:rPr>
                        <w:sz w:val="22"/>
                        <w:szCs w:val="22"/>
                      </w:rPr>
                      <w:t xml:space="preserve">понад 2000 </w:t>
                    </w:r>
                    <w:proofErr w:type="spellStart"/>
                    <w:r w:rsidRPr="000317A3">
                      <w:rPr>
                        <w:sz w:val="22"/>
                        <w:szCs w:val="22"/>
                      </w:rPr>
                      <w:t>кВт·год</w:t>
                    </w:r>
                    <w:proofErr w:type="spellEnd"/>
                    <w:r w:rsidRPr="000317A3">
                      <w:rPr>
                        <w:sz w:val="22"/>
                        <w:szCs w:val="22"/>
                      </w:rPr>
                      <w:t xml:space="preserve"> спожитої електричної енергії на місяць</w:t>
                    </w:r>
                  </w:hyperlink>
                </w:p>
                <w:p w14:paraId="18E8E64F" w14:textId="77777777" w:rsidR="008F758E" w:rsidRPr="008F758E" w:rsidRDefault="008F758E" w:rsidP="008F758E">
                  <w:pPr>
                    <w:rPr>
                      <w:sz w:val="28"/>
                      <w:lang w:val="ru-RU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28C871A" w14:textId="77777777" w:rsidR="00E249B8" w:rsidRDefault="00E249B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4279CBA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EB472D3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BA5DEAB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55C340B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D454F62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CEE1DE4" w14:textId="2DEC3AB2" w:rsidR="00CF0848" w:rsidRDefault="00944B89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  <w:p w14:paraId="05FDABDE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6222C92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814BA79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1200FCB" w14:textId="0898D8C7" w:rsidR="00CF0848" w:rsidRDefault="00944B89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2,2</w:t>
                  </w:r>
                </w:p>
                <w:p w14:paraId="260ABB0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4B6FFE6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C3E9797" w14:textId="0DD44AC5" w:rsidR="008F758E" w:rsidRDefault="00944B89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  <w:p w14:paraId="5DFA31E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63F7965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43B3E7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1B91737B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918551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02F7B8A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8BFFD4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819BAEE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7DC757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E23632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BD0568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7C2379D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8B1E57E" w14:textId="00DC6D69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35E13C9" w14:textId="6B29DA2A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EABF5DF" w14:textId="77777777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FA361ED" w14:textId="635CE94C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2,2</w:t>
                  </w:r>
                </w:p>
                <w:p w14:paraId="1A71FC9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548162A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02C49D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E6EFD92" w14:textId="2E18F241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E126FD9" w14:textId="74598F34" w:rsidR="00CF0848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</w:tc>
              <w:tc>
                <w:tcPr>
                  <w:tcW w:w="1083" w:type="dxa"/>
                  <w:vAlign w:val="center"/>
                </w:tcPr>
                <w:p w14:paraId="65603EAC" w14:textId="77777777" w:rsidR="00E249B8" w:rsidRDefault="00E249B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385130AA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1DC4BDFB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1FB8FFF5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17400F35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0F941662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DF378D0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  <w:p w14:paraId="606EAD96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4E42A134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6D2F1B6F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7CA5063A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0,44</w:t>
                  </w:r>
                </w:p>
                <w:p w14:paraId="61ECD2A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55B67E7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684A6846" w14:textId="1BC899A4" w:rsidR="008F758E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  <w:p w14:paraId="289122F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02758B4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56AC03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6516845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DB633B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1DFF14C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2F8D1CC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0C16C2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BBEA3DD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FF1B35E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E0D6166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F3A64C2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9BAF155" w14:textId="0E384171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F335329" w14:textId="0F0A0DD6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60449E6" w14:textId="77777777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FC1783A" w14:textId="2AD7A0A6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0,44</w:t>
                  </w:r>
                </w:p>
                <w:p w14:paraId="5314662A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B4589BB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06536E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D3AC35E" w14:textId="15F824D2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BA94B27" w14:textId="58B50037" w:rsidR="00CF0848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1059" w:type="dxa"/>
                  <w:vAlign w:val="center"/>
                </w:tcPr>
                <w:p w14:paraId="5358C6B9" w14:textId="77777777" w:rsidR="00E249B8" w:rsidRDefault="00E249B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0FCC986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370052A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2270C92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BE2E019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29BBF89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35258621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  <w:p w14:paraId="7B977268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433C5F78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7E275907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7C0CF87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2,64</w:t>
                  </w:r>
                </w:p>
                <w:p w14:paraId="2A8C189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B991101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20F70F6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  <w:p w14:paraId="098F3F44" w14:textId="5CB6E79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6E4A066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8233031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F6FFB22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0F5BEF5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56269AF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2E932A1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6B78FE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1855482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8DE1AE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EE23FFE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316D2DC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FDF6278" w14:textId="1DA3F4E0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D93C6E2" w14:textId="77777777" w:rsidR="008F758E" w:rsidRDefault="008F758E" w:rsidP="008F758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35F5FCA3" w14:textId="32D6314C" w:rsidR="008F758E" w:rsidRDefault="008F758E" w:rsidP="008F758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2,64</w:t>
                  </w:r>
                </w:p>
                <w:p w14:paraId="726847A4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19B16AF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0F20361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E2DF8FD" w14:textId="1F7872F6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ADF0F39" w14:textId="0A57DEF8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1C2F15C" w14:textId="6762FE81" w:rsidR="004F31AB" w:rsidRDefault="004F31AB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lastRenderedPageBreak/>
              <w:t>Фік</w:t>
            </w:r>
            <w:r w:rsidR="009E3629">
              <w:rPr>
                <w:bCs/>
                <w:sz w:val="22"/>
                <w:szCs w:val="22"/>
              </w:rPr>
              <w:t>со</w:t>
            </w:r>
            <w:r>
              <w:rPr>
                <w:bCs/>
                <w:sz w:val="22"/>
                <w:szCs w:val="22"/>
              </w:rPr>
              <w:t>вана ціна на електричну енергію для побутових споживачів діє з</w:t>
            </w:r>
            <w:r w:rsidRPr="007C7289">
              <w:rPr>
                <w:bCs/>
                <w:sz w:val="22"/>
                <w:szCs w:val="22"/>
              </w:rPr>
              <w:t xml:space="preserve"> 01 червня 202</w:t>
            </w:r>
            <w:r w:rsidR="00B826AA">
              <w:rPr>
                <w:bCs/>
                <w:sz w:val="22"/>
                <w:szCs w:val="22"/>
              </w:rPr>
              <w:t>4</w:t>
            </w:r>
            <w:r w:rsidRPr="007C7289">
              <w:rPr>
                <w:bCs/>
                <w:sz w:val="22"/>
                <w:szCs w:val="22"/>
              </w:rPr>
              <w:t xml:space="preserve"> року до </w:t>
            </w:r>
            <w:r w:rsidR="008F758E" w:rsidRPr="008F758E">
              <w:rPr>
                <w:bCs/>
                <w:sz w:val="22"/>
                <w:szCs w:val="22"/>
              </w:rPr>
              <w:t xml:space="preserve">31 жовтня  </w:t>
            </w:r>
            <w:r w:rsidRPr="007C7289">
              <w:rPr>
                <w:bCs/>
                <w:sz w:val="22"/>
                <w:szCs w:val="22"/>
              </w:rPr>
              <w:t>202</w:t>
            </w:r>
            <w:r w:rsidR="00B826AA">
              <w:rPr>
                <w:bCs/>
                <w:sz w:val="22"/>
                <w:szCs w:val="22"/>
              </w:rPr>
              <w:t>5</w:t>
            </w:r>
            <w:r w:rsidRPr="007C7289">
              <w:rPr>
                <w:bCs/>
                <w:sz w:val="22"/>
                <w:szCs w:val="22"/>
              </w:rPr>
              <w:t xml:space="preserve"> року включно</w:t>
            </w:r>
            <w:r>
              <w:rPr>
                <w:bCs/>
                <w:sz w:val="22"/>
                <w:szCs w:val="22"/>
              </w:rPr>
              <w:t>.</w:t>
            </w:r>
            <w:r w:rsidRPr="007C7289">
              <w:rPr>
                <w:bCs/>
                <w:sz w:val="22"/>
                <w:szCs w:val="22"/>
              </w:rPr>
              <w:t xml:space="preserve"> </w:t>
            </w:r>
          </w:p>
          <w:p w14:paraId="7A6BDB38" w14:textId="77777777" w:rsidR="00A63747" w:rsidRPr="00A63747" w:rsidRDefault="00A63747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06B2D652" w14:textId="77777777" w:rsidR="00A63747" w:rsidRPr="001266E9" w:rsidRDefault="00A63747" w:rsidP="00A63747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66E9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1266E9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1266E9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15D4C070" w14:textId="77777777" w:rsidR="00A63747" w:rsidRPr="003308C3" w:rsidRDefault="00A63747" w:rsidP="00A63747">
            <w:pPr>
              <w:jc w:val="both"/>
              <w:rPr>
                <w:sz w:val="22"/>
                <w:szCs w:val="22"/>
              </w:rPr>
            </w:pPr>
            <w:r w:rsidRPr="001266E9">
              <w:rPr>
                <w:sz w:val="22"/>
                <w:szCs w:val="22"/>
              </w:rPr>
              <w:t>постачання електричної енергії здійснюється за регульованими цінами (тарифами) на електроенергію, що визначаються</w:t>
            </w:r>
            <w:r w:rsidRPr="003308C3">
              <w:rPr>
                <w:sz w:val="22"/>
                <w:szCs w:val="22"/>
              </w:rPr>
              <w:t xml:space="preserve">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4CD353B8" w14:textId="10895163" w:rsidR="00A63747" w:rsidRPr="00BE264C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BE264C">
              <w:rPr>
                <w:b/>
                <w:sz w:val="22"/>
                <w:szCs w:val="22"/>
              </w:rPr>
              <w:t>Ц</w:t>
            </w:r>
            <w:r w:rsidR="00BE264C" w:rsidRPr="00BE264C">
              <w:rPr>
                <w:b/>
                <w:sz w:val="22"/>
                <w:szCs w:val="22"/>
              </w:rPr>
              <w:t>іна на універсальні послуги для малих непобутових споживачів</w:t>
            </w:r>
            <w:r w:rsidRPr="00BE264C">
              <w:rPr>
                <w:b/>
                <w:sz w:val="22"/>
                <w:szCs w:val="22"/>
              </w:rPr>
              <w:t xml:space="preserve">, електроустановки яких приєднані до мереж АТ "ЧЕРНІГІВОБЛЕНЕРГО" згідно з класом напруги, на </w:t>
            </w:r>
            <w:r w:rsidR="002360B4">
              <w:rPr>
                <w:b/>
                <w:sz w:val="22"/>
                <w:szCs w:val="22"/>
              </w:rPr>
              <w:t>липень</w:t>
            </w:r>
            <w:r w:rsidR="00166B74" w:rsidRPr="00BE264C">
              <w:rPr>
                <w:b/>
                <w:sz w:val="22"/>
                <w:szCs w:val="22"/>
              </w:rPr>
              <w:t xml:space="preserve"> </w:t>
            </w:r>
            <w:r w:rsidRPr="00BE264C">
              <w:rPr>
                <w:b/>
                <w:sz w:val="22"/>
                <w:szCs w:val="22"/>
              </w:rPr>
              <w:t xml:space="preserve">2025 року становить: </w:t>
            </w:r>
          </w:p>
          <w:p w14:paraId="623FA1EB" w14:textId="5423C31B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 клас –</w:t>
            </w:r>
            <w:r w:rsidR="002360B4">
              <w:rPr>
                <w:b/>
                <w:sz w:val="22"/>
                <w:szCs w:val="22"/>
              </w:rPr>
              <w:t xml:space="preserve"> 5,30059</w:t>
            </w:r>
            <w:r w:rsidR="00066B51">
              <w:rPr>
                <w:b/>
                <w:sz w:val="22"/>
                <w:szCs w:val="22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3E3399AD" w14:textId="0AB9F968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ІІ клас -</w:t>
            </w:r>
            <w:r w:rsidR="002360B4">
              <w:rPr>
                <w:b/>
                <w:sz w:val="22"/>
                <w:szCs w:val="22"/>
              </w:rPr>
              <w:t xml:space="preserve"> 7,17124</w:t>
            </w:r>
            <w:r w:rsidR="00066B51">
              <w:rPr>
                <w:b/>
                <w:sz w:val="22"/>
                <w:szCs w:val="22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4CAC5C8B" w14:textId="77777777" w:rsidR="00A63747" w:rsidRPr="00B1062B" w:rsidRDefault="00A63747" w:rsidP="00A6374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B6721AE" w14:textId="108AEE75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</w:t>
            </w:r>
            <w:r w:rsidRPr="0005175D">
              <w:rPr>
                <w:b/>
                <w:sz w:val="22"/>
                <w:szCs w:val="22"/>
              </w:rPr>
              <w:lastRenderedPageBreak/>
              <w:t>класом напруги, на</w:t>
            </w:r>
            <w:r w:rsidR="00CC3E7E">
              <w:rPr>
                <w:b/>
                <w:sz w:val="22"/>
                <w:szCs w:val="22"/>
              </w:rPr>
              <w:t xml:space="preserve"> </w:t>
            </w:r>
            <w:r w:rsidR="002360B4">
              <w:rPr>
                <w:b/>
                <w:sz w:val="22"/>
                <w:szCs w:val="22"/>
              </w:rPr>
              <w:t>липень</w:t>
            </w:r>
            <w:r w:rsidRPr="0005175D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0E83DA3E" w14:textId="2C8C49A7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 клас – </w:t>
            </w:r>
            <w:r w:rsidR="002360B4">
              <w:rPr>
                <w:b/>
                <w:sz w:val="22"/>
                <w:szCs w:val="22"/>
              </w:rPr>
              <w:t>5,24054</w:t>
            </w:r>
            <w:r w:rsidRPr="0005175D">
              <w:rPr>
                <w:b/>
                <w:sz w:val="22"/>
                <w:szCs w:val="22"/>
              </w:rPr>
              <w:t xml:space="preserve"> грн/кВт*год (без ПДВ), </w:t>
            </w:r>
          </w:p>
          <w:p w14:paraId="735841AE" w14:textId="41548B69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ІІ клас – </w:t>
            </w:r>
            <w:r w:rsidR="002360B4">
              <w:rPr>
                <w:b/>
                <w:sz w:val="22"/>
                <w:szCs w:val="22"/>
              </w:rPr>
              <w:t>6,59335</w:t>
            </w:r>
            <w:bookmarkStart w:id="0" w:name="_GoBack"/>
            <w:bookmarkEnd w:id="0"/>
            <w:r w:rsidRPr="0005175D">
              <w:rPr>
                <w:b/>
                <w:sz w:val="22"/>
                <w:szCs w:val="22"/>
              </w:rPr>
              <w:t xml:space="preserve"> грн/кВт*год (без ПДВ).</w:t>
            </w:r>
          </w:p>
          <w:p w14:paraId="1BDCA327" w14:textId="77777777" w:rsidR="00A63747" w:rsidRPr="00A63747" w:rsidRDefault="00A63747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1E37AA5D" w14:textId="77777777" w:rsidR="00E249B8" w:rsidRPr="00D1202E" w:rsidRDefault="00E249B8" w:rsidP="00847F94">
            <w:pPr>
              <w:jc w:val="both"/>
              <w:rPr>
                <w:sz w:val="22"/>
                <w:szCs w:val="22"/>
              </w:rPr>
            </w:pPr>
          </w:p>
          <w:p w14:paraId="588F8687" w14:textId="77777777" w:rsidR="00E249B8" w:rsidRPr="00D1202E" w:rsidRDefault="00E249B8" w:rsidP="00847F94">
            <w:pPr>
              <w:jc w:val="both"/>
              <w:rPr>
                <w:sz w:val="22"/>
                <w:szCs w:val="22"/>
                <w:lang w:val="ru-RU"/>
              </w:rPr>
            </w:pPr>
            <w:r w:rsidRPr="00D1202E">
              <w:rPr>
                <w:sz w:val="22"/>
                <w:szCs w:val="22"/>
              </w:rPr>
              <w:t xml:space="preserve">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влади, а також на офіційному сайті Постачальника: </w:t>
            </w:r>
            <w:proofErr w:type="spellStart"/>
            <w:r w:rsidRPr="00D1202E">
              <w:rPr>
                <w:sz w:val="22"/>
                <w:szCs w:val="22"/>
              </w:rPr>
              <w:t>http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://</w:t>
            </w:r>
            <w:proofErr w:type="spellStart"/>
            <w:r w:rsidRPr="00D1202E">
              <w:rPr>
                <w:sz w:val="22"/>
                <w:szCs w:val="22"/>
              </w:rPr>
              <w:t>cn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D1202E">
              <w:rPr>
                <w:sz w:val="22"/>
                <w:szCs w:val="22"/>
              </w:rPr>
              <w:t>enera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D1202E">
              <w:rPr>
                <w:sz w:val="22"/>
                <w:szCs w:val="22"/>
              </w:rPr>
              <w:t>ua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/.</w:t>
            </w:r>
          </w:p>
          <w:p w14:paraId="1528D398" w14:textId="77777777" w:rsidR="00E249B8" w:rsidRPr="00D1202E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 xml:space="preserve"> Ціна згідно даної комерційної пропозиції може змінюватись 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</w:t>
            </w:r>
            <w:r>
              <w:rPr>
                <w:sz w:val="22"/>
                <w:szCs w:val="22"/>
              </w:rPr>
              <w:t xml:space="preserve"> дію.</w:t>
            </w:r>
          </w:p>
        </w:tc>
      </w:tr>
      <w:tr w:rsidR="00E249B8" w:rsidRPr="004A76BA" w14:paraId="105FF27F" w14:textId="77777777" w:rsidTr="00DD1097">
        <w:trPr>
          <w:trHeight w:val="273"/>
        </w:trPr>
        <w:tc>
          <w:tcPr>
            <w:tcW w:w="3261" w:type="dxa"/>
            <w:shd w:val="clear" w:color="auto" w:fill="auto"/>
          </w:tcPr>
          <w:p w14:paraId="6AAAA7EF" w14:textId="11FFAD44" w:rsidR="00E249B8" w:rsidRPr="0028375E" w:rsidRDefault="0006485A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7593" w:type="dxa"/>
            <w:shd w:val="clear" w:color="auto" w:fill="auto"/>
          </w:tcPr>
          <w:p w14:paraId="2FF9773B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E249B8" w:rsidRPr="004A76BA" w14:paraId="301389CC" w14:textId="77777777" w:rsidTr="00DD1097">
        <w:trPr>
          <w:trHeight w:val="611"/>
        </w:trPr>
        <w:tc>
          <w:tcPr>
            <w:tcW w:w="3261" w:type="dxa"/>
            <w:shd w:val="clear" w:color="auto" w:fill="auto"/>
          </w:tcPr>
          <w:p w14:paraId="4BE6A05E" w14:textId="77777777" w:rsidR="00E249B8" w:rsidRPr="0006485A" w:rsidRDefault="00E249B8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7593" w:type="dxa"/>
            <w:shd w:val="clear" w:color="auto" w:fill="auto"/>
          </w:tcPr>
          <w:p w14:paraId="69A312C2" w14:textId="77777777" w:rsidR="00E249B8" w:rsidRPr="004A76BA" w:rsidRDefault="00E249B8" w:rsidP="00847F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DD1097">
        <w:trPr>
          <w:trHeight w:val="563"/>
        </w:trPr>
        <w:tc>
          <w:tcPr>
            <w:tcW w:w="3261" w:type="dxa"/>
            <w:shd w:val="clear" w:color="auto" w:fill="auto"/>
          </w:tcPr>
          <w:p w14:paraId="789A3178" w14:textId="28621C5F" w:rsidR="00E249B8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7593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DD1097">
        <w:trPr>
          <w:trHeight w:val="561"/>
        </w:trPr>
        <w:tc>
          <w:tcPr>
            <w:tcW w:w="3261" w:type="dxa"/>
            <w:shd w:val="clear" w:color="auto" w:fill="auto"/>
          </w:tcPr>
          <w:p w14:paraId="7AD019A2" w14:textId="7618BE28" w:rsidR="00E249B8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7593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9C4B97" w:rsidRPr="004A76BA" w14:paraId="7AB6EE30" w14:textId="77777777" w:rsidTr="00DD1097">
        <w:trPr>
          <w:trHeight w:val="448"/>
        </w:trPr>
        <w:tc>
          <w:tcPr>
            <w:tcW w:w="3261" w:type="dxa"/>
            <w:shd w:val="clear" w:color="auto" w:fill="auto"/>
          </w:tcPr>
          <w:p w14:paraId="311B384C" w14:textId="6021FE0E" w:rsidR="009C4B97" w:rsidRPr="0006485A" w:rsidRDefault="009C4B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7593" w:type="dxa"/>
            <w:shd w:val="clear" w:color="auto" w:fill="auto"/>
          </w:tcPr>
          <w:p w14:paraId="7C4B9598" w14:textId="3FB78BA1" w:rsidR="009C4B97" w:rsidRPr="00240696" w:rsidRDefault="009C4B97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DD1097" w:rsidRPr="004A76BA" w14:paraId="404F2532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56DC9EF2" w14:textId="4476032A" w:rsidR="00DD1097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7593" w:type="dxa"/>
            <w:shd w:val="clear" w:color="auto" w:fill="auto"/>
          </w:tcPr>
          <w:p w14:paraId="68CA9F53" w14:textId="77777777" w:rsidR="00DD1097" w:rsidRPr="00A40F92" w:rsidRDefault="00DD1097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DD1097" w:rsidRPr="004A76BA" w14:paraId="20821E0F" w14:textId="77777777" w:rsidTr="00DD1097">
        <w:trPr>
          <w:trHeight w:val="992"/>
        </w:trPr>
        <w:tc>
          <w:tcPr>
            <w:tcW w:w="3261" w:type="dxa"/>
            <w:shd w:val="clear" w:color="auto" w:fill="auto"/>
          </w:tcPr>
          <w:p w14:paraId="3752B42D" w14:textId="5191BD93" w:rsidR="00DD1097" w:rsidRPr="004A76BA" w:rsidRDefault="0006485A" w:rsidP="0006485A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7593" w:type="dxa"/>
            <w:shd w:val="clear" w:color="auto" w:fill="auto"/>
          </w:tcPr>
          <w:p w14:paraId="26871776" w14:textId="77777777" w:rsidR="00DD1097" w:rsidRDefault="00DD1097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  <w:p w14:paraId="1F3F8DAD" w14:textId="77777777" w:rsidR="0006485A" w:rsidRDefault="0006485A" w:rsidP="0006485A">
            <w:pPr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364BE33" w14:textId="77777777" w:rsidR="0006485A" w:rsidRDefault="0006485A" w:rsidP="0006485A">
            <w:pPr>
              <w:tabs>
                <w:tab w:val="left" w:pos="933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ab/>
            </w:r>
          </w:p>
          <w:p w14:paraId="7AD6E0FC" w14:textId="5A72DBBD" w:rsidR="0006485A" w:rsidRPr="0006485A" w:rsidRDefault="0006485A" w:rsidP="0006485A">
            <w:pPr>
              <w:tabs>
                <w:tab w:val="left" w:pos="933"/>
              </w:tabs>
              <w:rPr>
                <w:rFonts w:eastAsia="Calibri"/>
                <w:lang w:eastAsia="ru-RU"/>
              </w:rPr>
            </w:pPr>
          </w:p>
        </w:tc>
      </w:tr>
      <w:tr w:rsidR="00DD1097" w:rsidRPr="004A76BA" w14:paraId="0F8488D5" w14:textId="77777777" w:rsidTr="00DD1097">
        <w:trPr>
          <w:trHeight w:val="661"/>
        </w:trPr>
        <w:tc>
          <w:tcPr>
            <w:tcW w:w="3261" w:type="dxa"/>
            <w:shd w:val="clear" w:color="auto" w:fill="auto"/>
          </w:tcPr>
          <w:p w14:paraId="3AC7D854" w14:textId="3B192A26" w:rsidR="00DD1097" w:rsidRPr="004A76BA" w:rsidRDefault="0006485A" w:rsidP="0006485A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7593" w:type="dxa"/>
            <w:shd w:val="clear" w:color="auto" w:fill="auto"/>
          </w:tcPr>
          <w:p w14:paraId="1FC2CECE" w14:textId="77777777" w:rsidR="00DD1097" w:rsidRPr="004A76BA" w:rsidRDefault="00DD1097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DD1097" w:rsidRPr="004A76BA" w14:paraId="0012C629" w14:textId="77777777" w:rsidTr="00DD1097">
        <w:trPr>
          <w:trHeight w:val="699"/>
        </w:trPr>
        <w:tc>
          <w:tcPr>
            <w:tcW w:w="3261" w:type="dxa"/>
            <w:shd w:val="clear" w:color="auto" w:fill="auto"/>
          </w:tcPr>
          <w:p w14:paraId="6A821E9B" w14:textId="0FE12775" w:rsidR="00DD1097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7593" w:type="dxa"/>
            <w:shd w:val="clear" w:color="auto" w:fill="auto"/>
          </w:tcPr>
          <w:p w14:paraId="1CDD083D" w14:textId="03DFCD33" w:rsidR="00DD1097" w:rsidRPr="004A76BA" w:rsidRDefault="009C4B97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«_______» ____________ 20        </w:t>
            </w:r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4C5882E2" w:rsidR="00DD1097" w:rsidRPr="004A76BA" w:rsidRDefault="00DD1097" w:rsidP="000E0FD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>Керуючись ч. 3 ст. 6</w:t>
            </w:r>
            <w:r>
              <w:rPr>
                <w:sz w:val="22"/>
                <w:szCs w:val="22"/>
              </w:rPr>
              <w:t xml:space="preserve">31 Цивільного кодексу України, </w:t>
            </w:r>
            <w:r w:rsidRPr="004A76BA">
              <w:rPr>
                <w:sz w:val="22"/>
                <w:szCs w:val="22"/>
              </w:rPr>
              <w:t>Сторони домови</w:t>
            </w:r>
            <w:r>
              <w:rPr>
                <w:sz w:val="22"/>
                <w:szCs w:val="22"/>
              </w:rPr>
              <w:t xml:space="preserve">лись, що умови даного Договору </w:t>
            </w:r>
            <w:r w:rsidRPr="004A76BA">
              <w:rPr>
                <w:sz w:val="22"/>
                <w:szCs w:val="22"/>
              </w:rPr>
              <w:t xml:space="preserve">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>з __________________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DD1097" w:rsidRPr="004A76BA" w14:paraId="3490A24F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6B48B476" w14:textId="207A7DF3" w:rsidR="00DD1097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Урахування    пільг/субсидії</w:t>
            </w:r>
          </w:p>
        </w:tc>
        <w:tc>
          <w:tcPr>
            <w:tcW w:w="7593" w:type="dxa"/>
            <w:shd w:val="clear" w:color="auto" w:fill="auto"/>
          </w:tcPr>
          <w:p w14:paraId="5F3FFB18" w14:textId="77777777" w:rsidR="00DD1097" w:rsidRPr="004A76BA" w:rsidRDefault="00DD1097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DD1097" w:rsidRPr="004A76BA" w14:paraId="59103D6B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2BAF7B54" w14:textId="77777777" w:rsidR="00DD1097" w:rsidRPr="0006485A" w:rsidRDefault="00DD1097" w:rsidP="0006485A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7593" w:type="dxa"/>
            <w:shd w:val="clear" w:color="auto" w:fill="auto"/>
          </w:tcPr>
          <w:p w14:paraId="061B1C10" w14:textId="77777777" w:rsidR="00DD1097" w:rsidRPr="0028375E" w:rsidRDefault="00DD1097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DD1097" w:rsidRPr="004A76BA" w14:paraId="6D85D407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5F112722" w14:textId="77777777" w:rsidR="00DD1097" w:rsidRPr="001A0BA0" w:rsidRDefault="00DD1097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A0BA0">
              <w:rPr>
                <w:rFonts w:ascii="Times New Roman" w:hAnsi="Times New Roman" w:cs="Times New Roman"/>
                <w:b/>
                <w:color w:val="00000A"/>
                <w:sz w:val="22"/>
                <w:szCs w:val="22"/>
                <w:lang w:val="uk-UA"/>
              </w:rPr>
              <w:t>Е</w:t>
            </w:r>
            <w:r w:rsidRPr="001A0BA0">
              <w:rPr>
                <w:rStyle w:val="FontStyle11"/>
                <w:lang w:val="uk-UA" w:eastAsia="uk-UA"/>
              </w:rPr>
              <w:t>лектронний документообіг</w:t>
            </w:r>
          </w:p>
        </w:tc>
        <w:tc>
          <w:tcPr>
            <w:tcW w:w="7593" w:type="dxa"/>
            <w:shd w:val="clear" w:color="auto" w:fill="auto"/>
          </w:tcPr>
          <w:p w14:paraId="30172775" w14:textId="77777777" w:rsidR="00DD1097" w:rsidRPr="001A0BA0" w:rsidRDefault="00DD1097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DD1097" w:rsidRPr="001A0BA0" w:rsidRDefault="00DD1097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DD1097" w:rsidRPr="001A0BA0" w:rsidRDefault="00DD1097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DD1097" w:rsidRPr="00A41BFD" w:rsidRDefault="00DD1097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DD1097" w:rsidRPr="00A41BFD" w:rsidRDefault="00DD1097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DD1097" w:rsidRPr="00A41BFD" w:rsidRDefault="00DD1097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DD1097" w:rsidRPr="001A0BA0" w:rsidRDefault="00DD1097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DD1097" w:rsidRPr="004A76BA" w14:paraId="7E4D9216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4224091A" w14:textId="77777777" w:rsidR="00DD1097" w:rsidRPr="0006485A" w:rsidRDefault="00DD1097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7593" w:type="dxa"/>
            <w:shd w:val="clear" w:color="auto" w:fill="auto"/>
          </w:tcPr>
          <w:p w14:paraId="7B7E0E52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DD1097" w:rsidRPr="00B0020B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71665812" w14:textId="52268F82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78"/>
      </w:tblGrid>
      <w:tr w:rsidR="0006485A" w:rsidRPr="00A130F1" w14:paraId="08F5AA5C" w14:textId="77777777" w:rsidTr="0006485A">
        <w:tc>
          <w:tcPr>
            <w:tcW w:w="5378" w:type="dxa"/>
            <w:shd w:val="clear" w:color="auto" w:fill="auto"/>
          </w:tcPr>
          <w:p w14:paraId="71594695" w14:textId="453202F3" w:rsidR="0006485A" w:rsidRPr="001A0BA0" w:rsidRDefault="0006485A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57B7CAD" w14:textId="77777777" w:rsidR="0006485A" w:rsidRDefault="0006485A" w:rsidP="0006485A">
      <w:r>
        <w:t>Постачальник:</w:t>
      </w:r>
    </w:p>
    <w:p w14:paraId="5D6ACD71" w14:textId="77777777" w:rsidR="0006485A" w:rsidRPr="00E249B8" w:rsidRDefault="0006485A" w:rsidP="0006485A">
      <w:r>
        <w:t>ТОВ «ЕНЕРА ЧЕРНІГІВ»</w:t>
      </w:r>
    </w:p>
    <w:p w14:paraId="23629A45" w14:textId="78528395" w:rsidR="00FD2CD4" w:rsidRPr="0006485A" w:rsidRDefault="00FD2CD4" w:rsidP="0006485A">
      <w:pPr>
        <w:rPr>
          <w:lang w:val="ru-RU"/>
        </w:rPr>
      </w:pPr>
    </w:p>
    <w:sectPr w:rsidR="00FD2CD4" w:rsidRPr="0006485A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11181" w14:textId="77777777" w:rsidR="00E862E0" w:rsidRDefault="00E862E0" w:rsidP="0006485A">
      <w:r>
        <w:separator/>
      </w:r>
    </w:p>
  </w:endnote>
  <w:endnote w:type="continuationSeparator" w:id="0">
    <w:p w14:paraId="4F1E0DE8" w14:textId="77777777" w:rsidR="00E862E0" w:rsidRDefault="00E862E0" w:rsidP="0006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762A5" w14:textId="77777777" w:rsidR="00E862E0" w:rsidRDefault="00E862E0" w:rsidP="0006485A">
      <w:r>
        <w:separator/>
      </w:r>
    </w:p>
  </w:footnote>
  <w:footnote w:type="continuationSeparator" w:id="0">
    <w:p w14:paraId="511A26A3" w14:textId="77777777" w:rsidR="00E862E0" w:rsidRDefault="00E862E0" w:rsidP="0006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6049"/>
    <w:multiLevelType w:val="hybridMultilevel"/>
    <w:tmpl w:val="75FE1FC0"/>
    <w:lvl w:ilvl="0" w:tplc="D954F794">
      <w:start w:val="14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148D"/>
    <w:rsid w:val="00016988"/>
    <w:rsid w:val="00041649"/>
    <w:rsid w:val="0005175D"/>
    <w:rsid w:val="0006485A"/>
    <w:rsid w:val="00066B51"/>
    <w:rsid w:val="000E0FD7"/>
    <w:rsid w:val="000F2239"/>
    <w:rsid w:val="001266E9"/>
    <w:rsid w:val="001319C0"/>
    <w:rsid w:val="00133A3F"/>
    <w:rsid w:val="00166B74"/>
    <w:rsid w:val="00186747"/>
    <w:rsid w:val="0020329F"/>
    <w:rsid w:val="002360B4"/>
    <w:rsid w:val="002E48D9"/>
    <w:rsid w:val="00302D26"/>
    <w:rsid w:val="003408FF"/>
    <w:rsid w:val="00375BBB"/>
    <w:rsid w:val="003B0EE6"/>
    <w:rsid w:val="00493544"/>
    <w:rsid w:val="004A63B2"/>
    <w:rsid w:val="004D4E7A"/>
    <w:rsid w:val="004E064A"/>
    <w:rsid w:val="004F31AB"/>
    <w:rsid w:val="005A0CB0"/>
    <w:rsid w:val="00616ABC"/>
    <w:rsid w:val="0061794A"/>
    <w:rsid w:val="006278C5"/>
    <w:rsid w:val="006537FE"/>
    <w:rsid w:val="0067509A"/>
    <w:rsid w:val="0069634C"/>
    <w:rsid w:val="007064C4"/>
    <w:rsid w:val="0075360D"/>
    <w:rsid w:val="00791695"/>
    <w:rsid w:val="007B72AE"/>
    <w:rsid w:val="007E2E82"/>
    <w:rsid w:val="007E49A9"/>
    <w:rsid w:val="007F0278"/>
    <w:rsid w:val="0080599D"/>
    <w:rsid w:val="008F758E"/>
    <w:rsid w:val="0091579C"/>
    <w:rsid w:val="00944B89"/>
    <w:rsid w:val="00945F7E"/>
    <w:rsid w:val="009C4B97"/>
    <w:rsid w:val="009E3629"/>
    <w:rsid w:val="00A006F7"/>
    <w:rsid w:val="00A14402"/>
    <w:rsid w:val="00A335B2"/>
    <w:rsid w:val="00A63747"/>
    <w:rsid w:val="00A92E7E"/>
    <w:rsid w:val="00AD4B9D"/>
    <w:rsid w:val="00B8035C"/>
    <w:rsid w:val="00B826AA"/>
    <w:rsid w:val="00BD2178"/>
    <w:rsid w:val="00BE264C"/>
    <w:rsid w:val="00C63440"/>
    <w:rsid w:val="00CC3E7E"/>
    <w:rsid w:val="00CE315B"/>
    <w:rsid w:val="00CF0848"/>
    <w:rsid w:val="00D31B8D"/>
    <w:rsid w:val="00D873DB"/>
    <w:rsid w:val="00D9182C"/>
    <w:rsid w:val="00D9387D"/>
    <w:rsid w:val="00DB7FF1"/>
    <w:rsid w:val="00DD1097"/>
    <w:rsid w:val="00E04748"/>
    <w:rsid w:val="00E126F7"/>
    <w:rsid w:val="00E249B8"/>
    <w:rsid w:val="00E862E0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F7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F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-pro.ligazakon.net/document/KP241479?ed=2024_12_20&amp;an=63" TargetMode="External"/><Relationship Id="rId13" Type="http://schemas.openxmlformats.org/officeDocument/2006/relationships/hyperlink" Target="https://zakon-pro.ligazakon.net/document/KP241479?ed=2024_12_20&amp;an=51" TargetMode="External"/><Relationship Id="rId18" Type="http://schemas.openxmlformats.org/officeDocument/2006/relationships/hyperlink" Target="https://zakon-pro.ligazakon.net/document/KP241479?ed=2024_12_20&amp;an=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-pro.ligazakon.net/document/KP241479?ed=2024_12_20&amp;an=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-pro.ligazakon.net/document/KP241479?ed=2024_12_20&amp;an=51" TargetMode="External"/><Relationship Id="rId17" Type="http://schemas.openxmlformats.org/officeDocument/2006/relationships/hyperlink" Target="https://zakon-pro.ligazakon.net/document/KP250480?ed=2025_04_29&amp;an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-pro.ligazakon.net/document/KP241479?ed=2024_12_20&amp;an=51" TargetMode="External"/><Relationship Id="rId20" Type="http://schemas.openxmlformats.org/officeDocument/2006/relationships/hyperlink" Target="https://zakon-pro.ligazakon.net/document/KP241479?ed=2024_12_20&amp;an=5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-pro.ligazakon.net/document/KP241479?ed=2024_12_20&amp;an=5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-pro.ligazakon.net/document/KP241479?ed=2024_12_20&amp;an=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-pro.ligazakon.net/document/KP241479?ed=2024_12_20&amp;an=63" TargetMode="External"/><Relationship Id="rId19" Type="http://schemas.openxmlformats.org/officeDocument/2006/relationships/hyperlink" Target="https://zakon-pro.ligazakon.net/document/KP241479?ed=2024_12_20&amp;an=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-pro.ligazakon.net/document/KP241479?ed=2024_12_20&amp;an=63" TargetMode="External"/><Relationship Id="rId14" Type="http://schemas.openxmlformats.org/officeDocument/2006/relationships/hyperlink" Target="https://zakon-pro.ligazakon.net/document/KP241479?ed=2024_12_20&amp;an=51" TargetMode="External"/><Relationship Id="rId22" Type="http://schemas.openxmlformats.org/officeDocument/2006/relationships/hyperlink" Target="https://zakon-pro.ligazakon.net/document/KP25_037?ed=2025_01_17&amp;an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7448</Words>
  <Characters>4246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3</cp:revision>
  <dcterms:created xsi:type="dcterms:W3CDTF">2025-05-16T08:13:00Z</dcterms:created>
  <dcterms:modified xsi:type="dcterms:W3CDTF">2025-06-11T11:15:00Z</dcterms:modified>
</cp:coreProperties>
</file>