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5F732D0C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F82441" w:rsidRPr="00F82441">
              <w:rPr>
                <w:sz w:val="22"/>
                <w:szCs w:val="22"/>
              </w:rPr>
              <w:t>29 квітня 2025 року № 480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750EF8F8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F82441" w:rsidRPr="00F82441">
              <w:rPr>
                <w:bCs/>
                <w:sz w:val="22"/>
                <w:szCs w:val="22"/>
              </w:rPr>
              <w:t xml:space="preserve">31 жовтня  </w:t>
            </w:r>
            <w:r w:rsidR="00E249B8" w:rsidRPr="007C7289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 w:rsidR="00E249B8" w:rsidRPr="007C7289">
              <w:rPr>
                <w:bCs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197F08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197F08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7AE51952" w14:textId="58948070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4947A0" w:rsidRPr="004947A0">
              <w:rPr>
                <w:b/>
                <w:sz w:val="22"/>
                <w:szCs w:val="22"/>
              </w:rPr>
              <w:t>жовтень</w:t>
            </w:r>
            <w:r w:rsidRPr="002B167B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42096031" w14:textId="47724AC0" w:rsidR="002B167B" w:rsidRPr="002B167B" w:rsidRDefault="00B229BA" w:rsidP="002B16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 клас –</w:t>
            </w:r>
            <w:r w:rsidR="004947A0" w:rsidRPr="004947A0">
              <w:rPr>
                <w:b/>
                <w:sz w:val="22"/>
                <w:szCs w:val="22"/>
              </w:rPr>
              <w:t>7,08531</w:t>
            </w:r>
            <w:r w:rsidR="004947A0">
              <w:rPr>
                <w:b/>
                <w:sz w:val="22"/>
                <w:szCs w:val="22"/>
              </w:rPr>
              <w:t xml:space="preserve"> </w:t>
            </w:r>
            <w:r w:rsidR="002B167B"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CBC05F3" w14:textId="25EDD3BB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>ІІ клас -</w:t>
            </w:r>
            <w:r w:rsidR="004947A0">
              <w:rPr>
                <w:b/>
                <w:sz w:val="22"/>
                <w:szCs w:val="22"/>
              </w:rPr>
              <w:t xml:space="preserve"> </w:t>
            </w:r>
            <w:r w:rsidR="004947A0" w:rsidRPr="004947A0">
              <w:rPr>
                <w:b/>
                <w:sz w:val="22"/>
                <w:szCs w:val="22"/>
              </w:rPr>
              <w:t>9,02965</w:t>
            </w:r>
            <w:r w:rsidR="004947A0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543D266D" w14:textId="77777777" w:rsidR="002B167B" w:rsidRPr="002B167B" w:rsidRDefault="002B167B" w:rsidP="002B167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8F7F3D8" w14:textId="6996FB80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4947A0" w:rsidRPr="004947A0">
              <w:rPr>
                <w:b/>
                <w:sz w:val="22"/>
                <w:szCs w:val="22"/>
              </w:rPr>
              <w:t>жовтень</w:t>
            </w:r>
            <w:r w:rsidRPr="002B167B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6B5293E9" w14:textId="27859FE7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 клас – </w:t>
            </w:r>
            <w:r w:rsidR="004947A0" w:rsidRPr="004947A0">
              <w:rPr>
                <w:b/>
                <w:sz w:val="22"/>
                <w:szCs w:val="22"/>
              </w:rPr>
              <w:t>7,01739</w:t>
            </w:r>
            <w:r w:rsidR="004947A0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5A0147CE" w14:textId="5F673AE8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ІІ клас – </w:t>
            </w:r>
            <w:r w:rsidR="004947A0" w:rsidRPr="004947A0">
              <w:rPr>
                <w:b/>
                <w:sz w:val="22"/>
                <w:szCs w:val="22"/>
              </w:rPr>
              <w:t>8,3702</w:t>
            </w:r>
            <w:r w:rsidR="00087F84">
              <w:rPr>
                <w:b/>
                <w:sz w:val="22"/>
                <w:szCs w:val="22"/>
              </w:rPr>
              <w:t>0</w:t>
            </w:r>
            <w:bookmarkStart w:id="0" w:name="_GoBack"/>
            <w:bookmarkEnd w:id="0"/>
            <w:r w:rsidR="004947A0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>грн/кВт*год (без ПДВ).</w:t>
            </w:r>
          </w:p>
          <w:p w14:paraId="0863800E" w14:textId="77777777" w:rsidR="00A5432A" w:rsidRPr="00026C4E" w:rsidRDefault="00A5432A" w:rsidP="00A5432A">
            <w:pPr>
              <w:jc w:val="both"/>
              <w:rPr>
                <w:b/>
                <w:sz w:val="22"/>
                <w:szCs w:val="22"/>
              </w:rPr>
            </w:pPr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B167B"/>
    <w:rsid w:val="002C6DA0"/>
    <w:rsid w:val="002E48D9"/>
    <w:rsid w:val="003408FF"/>
    <w:rsid w:val="003B0EE6"/>
    <w:rsid w:val="0041607A"/>
    <w:rsid w:val="00433DBE"/>
    <w:rsid w:val="00493544"/>
    <w:rsid w:val="004947A0"/>
    <w:rsid w:val="004D4E7A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E2E82"/>
    <w:rsid w:val="007E49A9"/>
    <w:rsid w:val="0080599D"/>
    <w:rsid w:val="008775A9"/>
    <w:rsid w:val="00945F7E"/>
    <w:rsid w:val="00996F52"/>
    <w:rsid w:val="00A14402"/>
    <w:rsid w:val="00A5432A"/>
    <w:rsid w:val="00A92E7E"/>
    <w:rsid w:val="00AD4B9D"/>
    <w:rsid w:val="00B07100"/>
    <w:rsid w:val="00B229BA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77340"/>
    <w:rsid w:val="00E952D4"/>
    <w:rsid w:val="00F82441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6151</Words>
  <Characters>3507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3</cp:revision>
  <dcterms:created xsi:type="dcterms:W3CDTF">2025-09-10T11:33:00Z</dcterms:created>
  <dcterms:modified xsi:type="dcterms:W3CDTF">2025-09-10T12:48:00Z</dcterms:modified>
</cp:coreProperties>
</file>