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47" w:rsidRPr="00675601" w:rsidRDefault="00496047" w:rsidP="00496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n365"/>
      <w:bookmarkEnd w:id="0"/>
      <w:r w:rsidRPr="004960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ФІКСОВАНІ ЦІНИ </w:t>
      </w:r>
      <w:r w:rsidRPr="0049604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67560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br/>
      </w:r>
      <w:r w:rsidRPr="00496047">
        <w:rPr>
          <w:rFonts w:ascii="Times New Roman" w:eastAsia="Times New Roman" w:hAnsi="Times New Roman"/>
          <w:b/>
          <w:sz w:val="24"/>
          <w:szCs w:val="24"/>
          <w:lang w:eastAsia="ru-RU"/>
        </w:rPr>
        <w:t>на електричну енергію для побутових споживачів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67560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з </w:t>
      </w:r>
      <w:r w:rsidRPr="00496047">
        <w:rPr>
          <w:rFonts w:ascii="Times New Roman" w:eastAsia="Times New Roman" w:hAnsi="Times New Roman"/>
          <w:b/>
          <w:sz w:val="24"/>
          <w:szCs w:val="24"/>
          <w:lang w:eastAsia="ru-RU"/>
        </w:rPr>
        <w:t>01.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06</w:t>
      </w:r>
      <w:r w:rsidRPr="00496047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18A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31.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</w:t>
      </w:r>
      <w:r w:rsidRPr="00496047">
        <w:rPr>
          <w:rFonts w:ascii="Times New Roman" w:eastAsia="Times New Roman" w:hAnsi="Times New Roman"/>
          <w:b/>
          <w:sz w:val="24"/>
          <w:szCs w:val="24"/>
          <w:lang w:eastAsia="ru-RU"/>
        </w:rPr>
        <w:t>.2023</w:t>
      </w:r>
      <w:r w:rsidR="0067560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року</w:t>
      </w:r>
    </w:p>
    <w:p w:rsidR="00496047" w:rsidRDefault="00DE52A7" w:rsidP="00DE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1" w:name="n516"/>
      <w:bookmarkStart w:id="2" w:name="n518"/>
      <w:bookmarkEnd w:id="1"/>
      <w:bookmarkEnd w:id="2"/>
      <w:r>
        <w:rPr>
          <w:rFonts w:ascii="Times New Roman" w:eastAsia="Times New Roman" w:hAnsi="Times New Roman"/>
          <w:sz w:val="24"/>
          <w:szCs w:val="24"/>
          <w:lang w:val="uk-UA" w:eastAsia="uk-UA"/>
        </w:rPr>
        <w:t>1.</w:t>
      </w:r>
      <w:r w:rsidR="00496047" w:rsidRPr="00496047">
        <w:rPr>
          <w:rFonts w:ascii="Times New Roman" w:eastAsia="Times New Roman" w:hAnsi="Times New Roman"/>
          <w:sz w:val="24"/>
          <w:szCs w:val="24"/>
          <w:lang w:val="uk-UA" w:eastAsia="uk-UA"/>
        </w:rPr>
        <w:t>Фіксовані ціни на електричну енергію для побутових споживачів становлять з 1 червня 2023 р. по 31 грудня 2023 р. включно:</w:t>
      </w:r>
    </w:p>
    <w:p w:rsidR="00137B5B" w:rsidRPr="00496047" w:rsidRDefault="00137B5B" w:rsidP="00137B5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494"/>
        <w:gridCol w:w="1774"/>
        <w:gridCol w:w="1401"/>
      </w:tblGrid>
      <w:tr w:rsidR="00496047" w:rsidRPr="00496047" w:rsidTr="00E34FEE"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176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Споживач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DE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Фіксована ціна на електричну енергію в гривнях за 1 кВт·год</w:t>
            </w:r>
          </w:p>
        </w:tc>
      </w:tr>
      <w:tr w:rsidR="00496047" w:rsidRPr="00496047" w:rsidTr="00E34FE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047" w:rsidRPr="00496047" w:rsidRDefault="00496047" w:rsidP="00496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DE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без податку на додану вартість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DE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податок на додану вартість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DE5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 податком на додану вартість</w:t>
            </w:r>
          </w:p>
        </w:tc>
      </w:tr>
      <w:tr w:rsidR="00496047" w:rsidRPr="00496047" w:rsidTr="00E34F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4960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Індивідуальні та колективні побутові споживачі (зокрема гуртожитки), а також споживачі (цілі споживання), які визначені в абзацах одинадцятому - чотирнадцятому </w:t>
            </w:r>
            <w:hyperlink r:id="rId8" w:tgtFrame="_blank" w:history="1">
              <w:r w:rsidRPr="00496047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пункту 13 розділу XVII  "Прикінцеві та перехідні положення" Закону України «Про ринок електричної енергії»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496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496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6047" w:rsidRPr="00496047" w:rsidRDefault="00496047" w:rsidP="00496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9604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2,64</w:t>
            </w:r>
          </w:p>
        </w:tc>
      </w:tr>
    </w:tbl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 xml:space="preserve">2. Фіксовані ціни, визначені </w:t>
      </w:r>
      <w:hyperlink r:id="rId9" w:anchor="n516" w:history="1">
        <w:r w:rsidRPr="004960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 xml:space="preserve"> цього додатка, застосовуються до електричної енергії, що купується у постачальників універсальних послуг та споживається: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n519"/>
      <w:bookmarkEnd w:id="3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1) індивідуальними та колективними побутовими споживачами, в тому числі у гуртожитках,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потреб, які не включають професійну та/або господарську діяльність;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n520"/>
      <w:bookmarkEnd w:id="4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2) у багатоквартирних житлових будинках (у тому числі гуртожитках) на технічні цілі (аварійне та евакуаційне освітлення, роботу індивідуальних теплових пунктів, котелень, ліфтів, насосів, замково-переговорних пристроїв, протипожежних систем, систем вентиляції, димовидалення та кондиціонування, систем сигналізації, авіаційних маяків, що належать власникам квартир багатоквартирного будинку на праві спільної власності) та освітлення дворів, східців і номерних знаків;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n521"/>
      <w:bookmarkEnd w:id="5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3) у дачних та дачно-будівельних кооперативах, садових товариствах, гаражно-будівельних кооперативах на технічні цілі (роботу насосів) та освітлення території;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n522"/>
      <w:bookmarkEnd w:id="6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4) юридичними особами, які є власниками (балансоутримувачами) майна, що використовується для компактного поселення внутрішньо переміщених осіб (містечок із збірних модулів, гуртожитків, оздоровчих таборів, будинків відпочинку, санаторіїв, пансіонатів, готелів тощо), у частині задоволення власних побутових потреб внутрішньо переміщених осіб;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n523"/>
      <w:bookmarkEnd w:id="7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5) релігійними організаціями в частині споживання електричної енергії на комунально-побутові потреби.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524"/>
      <w:bookmarkEnd w:id="8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наявності обліку споживання електричної енергії за періодами часу розрахунки споживачів, зазначених у </w:t>
      </w:r>
      <w:hyperlink r:id="rId10" w:anchor="n519" w:history="1">
        <w:r w:rsidRPr="004960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підпункті 1</w:t>
        </w:r>
      </w:hyperlink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пункту 2 цього додатка, проводяться за фіксованою ціною на електричну енергію, визначеною </w:t>
      </w:r>
      <w:hyperlink r:id="rId11" w:anchor="n516" w:history="1">
        <w:r w:rsidRPr="004960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 xml:space="preserve"> цього додатка, із застосуванням таких коефіцієнтів (за вибором споживача):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525"/>
      <w:bookmarkEnd w:id="9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за двозонним диференціюванням за періодами часу: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n526"/>
      <w:bookmarkEnd w:id="10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0,5 фіксованої ціни в години нічного мінімального навантаження енергосистеми (з 23-ї до 7-ї години);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n527"/>
      <w:bookmarkEnd w:id="11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повна фіксована ціна в інші години доби;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n528"/>
      <w:bookmarkEnd w:id="12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2) за тризонним диференціюванням за періодами часу: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n529"/>
      <w:bookmarkEnd w:id="13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1,5 фіксованої ціни в години максимального навантаження енергосистеми (з 8-ї до 11-ї години і з 20-ї до 22-ї години);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n530"/>
      <w:bookmarkEnd w:id="14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повна фіксована ціна у напівпіковий період (з 7-ї до 8-ї години, з 11-ї до 20-ї години, з 22-ї до 23-ї години);</w:t>
      </w:r>
    </w:p>
    <w:p w:rsidR="00496047" w:rsidRPr="00496047" w:rsidRDefault="00496047" w:rsidP="00496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5" w:name="n531"/>
      <w:bookmarkEnd w:id="15"/>
      <w:r w:rsidRPr="00496047">
        <w:rPr>
          <w:rFonts w:ascii="Times New Roman" w:eastAsia="Times New Roman" w:hAnsi="Times New Roman"/>
          <w:sz w:val="24"/>
          <w:szCs w:val="24"/>
          <w:lang w:eastAsia="ru-RU"/>
        </w:rPr>
        <w:t>0,4 фіксованої ціни в години нічного мінімального навантаження енергосистеми (з 23-ї до 7-ї години).</w:t>
      </w:r>
    </w:p>
    <w:p w:rsidR="00496047" w:rsidRDefault="00496047" w:rsidP="00B33C8E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</w:p>
    <w:p w:rsidR="00496047" w:rsidRDefault="00496047" w:rsidP="00B33C8E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</w:p>
    <w:p w:rsidR="003D7261" w:rsidRDefault="003D7261">
      <w:pPr>
        <w:spacing w:after="0" w:line="240" w:lineRule="auto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br w:type="page"/>
      </w:r>
    </w:p>
    <w:p w:rsidR="00620B57" w:rsidRDefault="00B33C8E" w:rsidP="00B33C8E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  <w:r w:rsidRP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lastRenderedPageBreak/>
        <w:t>Фіксовані ціни на електричну енергію для побутових споживачів з 01.10.2021</w:t>
      </w:r>
      <w:r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31.05.2023</w:t>
      </w:r>
    </w:p>
    <w:p w:rsidR="005115D0" w:rsidRDefault="005115D0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sz w:val="27"/>
          <w:szCs w:val="27"/>
          <w:lang w:val="uk-UA"/>
        </w:rPr>
      </w:pPr>
      <w:r w:rsidRPr="005115D0">
        <w:rPr>
          <w:rFonts w:ascii="ProbaPro" w:hAnsi="ProbaPro"/>
          <w:sz w:val="27"/>
          <w:szCs w:val="27"/>
          <w:lang w:val="uk-UA"/>
        </w:rPr>
        <w:t>Ф</w:t>
      </w:r>
      <w:r w:rsidR="00A06AAF" w:rsidRPr="005115D0">
        <w:rPr>
          <w:rFonts w:ascii="ProbaPro" w:hAnsi="ProbaPro"/>
          <w:sz w:val="27"/>
          <w:szCs w:val="27"/>
          <w:lang w:val="uk-UA"/>
        </w:rPr>
        <w:t>іксована ціна на електричну енергію для побутових споживачів встановлюється Кабінетом Міністрів України та діє на всій території України.</w:t>
      </w:r>
    </w:p>
    <w:p w:rsidR="00B33C8E" w:rsidRPr="005115D0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 w:rsidRPr="005115D0">
        <w:rPr>
          <w:rFonts w:ascii="ProbaPro" w:hAnsi="ProbaPro"/>
          <w:color w:val="000000"/>
          <w:sz w:val="27"/>
          <w:szCs w:val="27"/>
          <w:lang w:val="uk-UA"/>
        </w:rPr>
        <w:t xml:space="preserve">Положенням про покладення спеціальних обов'язків на учасників ринку електричної енергії для забезпечення загальносуспільних інтересів у процесі функціонування ринку електричної енергії, затвердженим постановою </w:t>
      </w:r>
      <w:r w:rsidRPr="005115D0">
        <w:rPr>
          <w:rFonts w:ascii="ProbaPro" w:hAnsi="ProbaPro"/>
          <w:color w:val="000000"/>
          <w:sz w:val="27"/>
          <w:szCs w:val="27"/>
        </w:rPr>
        <w:t>Кабінету Міністрів України від </w:t>
      </w:r>
      <w:hyperlink r:id="rId12" w:anchor="Text" w:history="1">
        <w:r w:rsidRPr="005115D0"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05.06.2019 № 483</w:t>
        </w:r>
      </w:hyperlink>
      <w:r w:rsidRPr="005115D0">
        <w:rPr>
          <w:rFonts w:ascii="ProbaPro" w:hAnsi="ProbaPro"/>
          <w:color w:val="000000"/>
          <w:sz w:val="27"/>
          <w:szCs w:val="27"/>
        </w:rPr>
        <w:t> (із змінами), передбачено:</w:t>
      </w: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1. Фіксовані ціни на електричну енергію для побутових споживачів становлять з 01 жовтня 2021 року по 31 травня 2023 року включно:</w:t>
      </w:r>
    </w:p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5"/>
        <w:gridCol w:w="1556"/>
        <w:gridCol w:w="1699"/>
        <w:gridCol w:w="1435"/>
      </w:tblGrid>
      <w:tr w:rsidR="00B33C8E" w:rsidRPr="0031364E" w:rsidTr="003D7261">
        <w:trPr>
          <w:trHeight w:val="20"/>
        </w:trPr>
        <w:tc>
          <w:tcPr>
            <w:tcW w:w="4785" w:type="dxa"/>
            <w:vMerge w:val="restart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lang w:val="uk-UA"/>
              </w:rPr>
            </w:pPr>
            <w:r w:rsidRPr="0031364E">
              <w:rPr>
                <w:rFonts w:ascii="ProbaPro" w:hAnsi="ProbaPro"/>
                <w:color w:val="000000"/>
              </w:rPr>
              <w:t>Місячний обсяг споживання</w:t>
            </w:r>
          </w:p>
        </w:tc>
        <w:tc>
          <w:tcPr>
            <w:tcW w:w="4786" w:type="dxa"/>
            <w:gridSpan w:val="3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Фіксована ціна на електричну енергію, в копійках за 1 кВт·год</w:t>
            </w:r>
          </w:p>
        </w:tc>
      </w:tr>
      <w:tr w:rsidR="00B33C8E" w:rsidRPr="0031364E" w:rsidTr="003D7261">
        <w:trPr>
          <w:trHeight w:val="20"/>
        </w:trPr>
        <w:tc>
          <w:tcPr>
            <w:tcW w:w="4785" w:type="dxa"/>
            <w:vMerge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без податку на додану вартість</w:t>
            </w:r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 на додану вартість</w:t>
            </w:r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 податком на додану вартість</w:t>
            </w:r>
          </w:p>
        </w:tc>
      </w:tr>
      <w:tr w:rsidR="00B33C8E" w:rsidRPr="0031364E" w:rsidTr="003D7261">
        <w:trPr>
          <w:trHeight w:val="20"/>
        </w:trPr>
        <w:tc>
          <w:tcPr>
            <w:tcW w:w="4785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Для індивідуальних побутових споживачів:</w:t>
            </w:r>
          </w:p>
          <w:p w:rsidR="00B33C8E" w:rsidRPr="0031364E" w:rsidRDefault="00B33C8E" w:rsidP="003D7261">
            <w:pPr>
              <w:numPr>
                <w:ilvl w:val="0"/>
                <w:numId w:val="21"/>
              </w:num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до 250 кВт·год (включно, за весь обсяг споживання)</w:t>
            </w:r>
          </w:p>
          <w:p w:rsidR="00B33C8E" w:rsidRPr="0031364E" w:rsidRDefault="00B33C8E" w:rsidP="003D7261">
            <w:pPr>
              <w:numPr>
                <w:ilvl w:val="0"/>
                <w:numId w:val="21"/>
              </w:num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понад 250 кВт·год (за весь обсяг споживання)</w:t>
            </w: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1,2</w:t>
            </w: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0,24</w:t>
            </w: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B33C8E" w:rsidRPr="0031364E" w:rsidRDefault="00B33C8E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1,44</w:t>
            </w: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  <w:tr w:rsidR="00D961F9" w:rsidRPr="0031364E" w:rsidTr="003D7261">
        <w:trPr>
          <w:trHeight w:val="20"/>
        </w:trPr>
        <w:tc>
          <w:tcPr>
            <w:tcW w:w="4785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Для колективних побутових споживачів (крім гуртожитків), а також споживачів (цілі споживання), які визначені в абзацах одинадцятому – чотирнадцятому пункту 13 розділу XVII «Прикінцеві та перехідні положення» Закону України «Про ринок електричної енергії» –</w:t>
            </w:r>
          </w:p>
          <w:p w:rsidR="00D961F9" w:rsidRPr="0031364E" w:rsidRDefault="00D961F9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за весь обсяг споживання</w:t>
            </w:r>
          </w:p>
        </w:tc>
        <w:tc>
          <w:tcPr>
            <w:tcW w:w="1590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3D7261" w:rsidRPr="0031364E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3D7261" w:rsidRPr="0031364E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3D7261" w:rsidRPr="0031364E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  <w:tr w:rsidR="00D961F9" w:rsidRPr="0031364E" w:rsidTr="003D7261">
        <w:trPr>
          <w:trHeight w:val="20"/>
        </w:trPr>
        <w:tc>
          <w:tcPr>
            <w:tcW w:w="4785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Для гуртожитків –</w:t>
            </w:r>
          </w:p>
          <w:p w:rsidR="00D961F9" w:rsidRPr="0031364E" w:rsidRDefault="00D961F9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за весь обсяг споживання</w:t>
            </w:r>
          </w:p>
        </w:tc>
        <w:tc>
          <w:tcPr>
            <w:tcW w:w="1590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1,4</w:t>
            </w:r>
          </w:p>
        </w:tc>
        <w:tc>
          <w:tcPr>
            <w:tcW w:w="1740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0,28</w:t>
            </w:r>
          </w:p>
        </w:tc>
        <w:tc>
          <w:tcPr>
            <w:tcW w:w="1456" w:type="dxa"/>
            <w:shd w:val="clear" w:color="auto" w:fill="auto"/>
          </w:tcPr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961F9" w:rsidRPr="0031364E" w:rsidRDefault="00D961F9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1,68</w:t>
            </w:r>
          </w:p>
        </w:tc>
      </w:tr>
    </w:tbl>
    <w:p w:rsidR="00B33C8E" w:rsidRDefault="00B33C8E" w:rsidP="00B33C8E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961F9" w:rsidRDefault="00D961F9" w:rsidP="00D961F9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D961F9">
        <w:rPr>
          <w:rFonts w:ascii="ProbaPro" w:eastAsia="Times New Roman" w:hAnsi="ProbaPro"/>
          <w:b/>
          <w:color w:val="000000"/>
          <w:lang w:eastAsia="ru-RU"/>
        </w:rPr>
        <w:t>2. Фіксовані ціни, визначені пунктом 1, застосовуються до електричної енергії, що купується у постачальників універсальних послуг та споживається: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індивідуальними та колективними побутовими споживачами, в тому числі – у гуртожитках, що розраховуються за електричну енергію за загальним розрахунковим засобом обліку в частині споживання електричної енергії фізичними особами для забезпечення власних побутових потреб, які не включають професійну та/або господарську діяльність;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у багатоквартирних житлових будинках (в тому числі гуртожитках) на технічні цілі (роботу індивідуальних теплових пунктів, котелень, ліфтів, насосів та замково-</w:t>
      </w:r>
      <w:r w:rsidRPr="00D961F9">
        <w:rPr>
          <w:rFonts w:ascii="ProbaPro" w:eastAsia="Times New Roman" w:hAnsi="ProbaPro"/>
          <w:color w:val="000000"/>
          <w:lang w:eastAsia="ru-RU"/>
        </w:rPr>
        <w:lastRenderedPageBreak/>
        <w:t>переговорних пристроїв, що належать власникам квартир багатоквартирного будинку на праві спільної власності) та освітлення дворів, східців і номерних знаків;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у дачних та дачно-будівельних кооперативах, садових товариствах, гаражно-будівельних кооперативах на технічні цілі (роботу насосів) та освітлення території;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юридичними особами, які є власниками (балансоутримувачами) майна, що використовується для компактного поселення внутрішньо переміщених осіб (містечок із збірних модулів, гуртожитків, оздоровчих таборів, будинків відпочинку, санаторіїв, пансіонатів, готелів тощо), у частині задоволення власних побутових потреб внутрішньо переміщених осіб;</w:t>
      </w:r>
    </w:p>
    <w:p w:rsidR="00D961F9" w:rsidRPr="00D961F9" w:rsidRDefault="00D961F9" w:rsidP="00D961F9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релігійними організаціями в частині споживання електричної енергії на комунально-побутові потреби.</w:t>
      </w:r>
    </w:p>
    <w:p w:rsidR="00D961F9" w:rsidRPr="00D961F9" w:rsidRDefault="00D961F9" w:rsidP="00D961F9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D961F9">
        <w:rPr>
          <w:rFonts w:ascii="ProbaPro" w:eastAsia="Times New Roman" w:hAnsi="ProbaPro"/>
          <w:b/>
          <w:color w:val="000000"/>
          <w:lang w:eastAsia="ru-RU"/>
        </w:rPr>
        <w:t>3. За наявності обліку споживання електричної енергії за періодами часу розрахунки споживачів, зазначених у підпункті 1 пункту 2, проводяться за фіксованою ціною на електричну енергію, визначеною пунктом 1, із застосуванням таких коефіцієнтів (за вибором споживача):</w:t>
      </w:r>
    </w:p>
    <w:p w:rsidR="00D961F9" w:rsidRPr="00D961F9" w:rsidRDefault="00D961F9" w:rsidP="00D961F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1) </w:t>
      </w:r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за двозонним диференціюванням</w:t>
      </w:r>
      <w:r w:rsidRPr="00D961F9">
        <w:rPr>
          <w:rFonts w:ascii="ProbaPro" w:eastAsia="Times New Roman" w:hAnsi="ProbaPro"/>
          <w:color w:val="000000"/>
          <w:lang w:eastAsia="ru-RU"/>
        </w:rPr>
        <w:t> за періодами часу:</w:t>
      </w:r>
    </w:p>
    <w:p w:rsidR="00D961F9" w:rsidRPr="00D961F9" w:rsidRDefault="00D961F9" w:rsidP="00D961F9">
      <w:pPr>
        <w:numPr>
          <w:ilvl w:val="0"/>
          <w:numId w:val="19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0,5 фіксованої ціни в години нічного мінімального навантаження енергосистеми (з 23-ї до 7-ї години);</w:t>
      </w:r>
    </w:p>
    <w:p w:rsidR="00D961F9" w:rsidRPr="00D961F9" w:rsidRDefault="00D961F9" w:rsidP="00D961F9">
      <w:pPr>
        <w:numPr>
          <w:ilvl w:val="0"/>
          <w:numId w:val="19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повна фіксована ціна в інші години доби;</w:t>
      </w:r>
    </w:p>
    <w:p w:rsidR="00D961F9" w:rsidRPr="00D961F9" w:rsidRDefault="00D961F9" w:rsidP="00D961F9">
      <w:p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</w:p>
    <w:p w:rsidR="00D961F9" w:rsidRPr="00D961F9" w:rsidRDefault="00D961F9" w:rsidP="00D961F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2) </w:t>
      </w:r>
      <w:r w:rsidRPr="00D961F9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за тризонним диференціюванням</w:t>
      </w:r>
      <w:r w:rsidRPr="00D961F9">
        <w:rPr>
          <w:rFonts w:ascii="ProbaPro" w:eastAsia="Times New Roman" w:hAnsi="ProbaPro"/>
          <w:color w:val="000000"/>
          <w:lang w:eastAsia="ru-RU"/>
        </w:rPr>
        <w:t> за періодами часу: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1,5 фіксованої ціни в години максимального навантаження енергосистеми (з 8-ї до 11-ї години і з 20-ї до 22-ї години);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повна фіксована ціна у напівпіковий період (з 7-ї до 8-ї години, з 11-ї до 20-ї години, з 22-ї до 23-ї години);</w:t>
      </w:r>
    </w:p>
    <w:p w:rsidR="00D961F9" w:rsidRPr="00D961F9" w:rsidRDefault="00D961F9" w:rsidP="00D961F9">
      <w:pPr>
        <w:numPr>
          <w:ilvl w:val="0"/>
          <w:numId w:val="20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D961F9">
        <w:rPr>
          <w:rFonts w:ascii="ProbaPro" w:eastAsia="Times New Roman" w:hAnsi="ProbaPro"/>
          <w:color w:val="000000"/>
          <w:lang w:eastAsia="ru-RU"/>
        </w:rPr>
        <w:t>0,4 фіксованої ціни в години нічного мінімального навантаження енергосистеми (з 23-ї до 7-ї години).</w:t>
      </w:r>
    </w:p>
    <w:p w:rsidR="00D961F9" w:rsidRPr="00D41BFB" w:rsidRDefault="00D961F9" w:rsidP="00D961F9">
      <w:pPr>
        <w:rPr>
          <w:rFonts w:ascii="Times New Roman" w:hAnsi="Times New Roman"/>
          <w:sz w:val="28"/>
          <w:szCs w:val="28"/>
        </w:rPr>
      </w:pPr>
    </w:p>
    <w:p w:rsidR="003D7261" w:rsidRDefault="003D7261">
      <w:pPr>
        <w:spacing w:after="0" w:line="240" w:lineRule="auto"/>
        <w:rPr>
          <w:rFonts w:ascii="Times New Roman" w:eastAsia="Times New Roman" w:hAnsi="Times New Roman"/>
          <w:b/>
          <w:bCs/>
          <w:color w:val="1D1D1D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1D1D1D"/>
          <w:sz w:val="28"/>
          <w:szCs w:val="28"/>
          <w:shd w:val="clear" w:color="auto" w:fill="FFFFFF"/>
        </w:rPr>
        <w:br w:type="page"/>
      </w:r>
    </w:p>
    <w:p w:rsidR="00D41BFB" w:rsidRPr="00B33C8E" w:rsidRDefault="00D41BFB" w:rsidP="00D961F9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D41BFB">
        <w:rPr>
          <w:b/>
          <w:bCs/>
          <w:color w:val="1D1D1D"/>
          <w:sz w:val="28"/>
          <w:szCs w:val="28"/>
          <w:shd w:val="clear" w:color="auto" w:fill="FFFFFF"/>
        </w:rPr>
        <w:lastRenderedPageBreak/>
        <w:t>Фіксовані ціни на електричну енергію для побутових споживачів з 01.01.2021</w:t>
      </w:r>
      <w:r w:rsidR="00B33C8E">
        <w:rPr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30.09.2021 року</w:t>
      </w:r>
    </w:p>
    <w:p w:rsidR="00D41BFB" w:rsidRDefault="00D41BFB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Положенням про покладення спеціальних обов’язків на учасників ринку електричної енергії для забезпечення загальносуспільних інтересів у процесі функціонування ринку електричної енергії, затвердженим постановою Кабінету Міністрів України від </w:t>
      </w:r>
      <w:hyperlink r:id="rId13" w:anchor="Text" w:tgtFrame="_blank" w:history="1">
        <w:r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05.06.2019 № 483</w:t>
        </w:r>
      </w:hyperlink>
      <w:r>
        <w:rPr>
          <w:rFonts w:ascii="ProbaPro" w:hAnsi="ProbaPro"/>
          <w:color w:val="000000"/>
          <w:sz w:val="27"/>
          <w:szCs w:val="27"/>
        </w:rPr>
        <w:t> (із змінами, внесеними постановою Кабінету Міністрів України від </w:t>
      </w:r>
      <w:hyperlink r:id="rId14" w:anchor="n2" w:tgtFrame="_blank" w:history="1">
        <w:r>
          <w:rPr>
            <w:rStyle w:val="ab"/>
            <w:rFonts w:ascii="ProbaPro" w:hAnsi="ProbaPro"/>
            <w:color w:val="004BC1"/>
            <w:sz w:val="27"/>
            <w:szCs w:val="27"/>
            <w:bdr w:val="none" w:sz="0" w:space="0" w:color="auto" w:frame="1"/>
          </w:rPr>
          <w:t>11.08.2021 № 859</w:t>
        </w:r>
      </w:hyperlink>
      <w:r>
        <w:rPr>
          <w:rFonts w:ascii="ProbaPro" w:hAnsi="ProbaPro"/>
          <w:color w:val="000000"/>
          <w:sz w:val="27"/>
          <w:szCs w:val="27"/>
        </w:rPr>
        <w:t>), передбачено:</w:t>
      </w:r>
    </w:p>
    <w:p w:rsidR="00B33C8E" w:rsidRDefault="00B33C8E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</w:p>
    <w:p w:rsidR="00D41BFB" w:rsidRDefault="00D41BFB" w:rsidP="00D41B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</w:rPr>
        <w:t>1. Фіксована ціна на електричну енергію для побутових споживачів становить: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1564"/>
        <w:gridCol w:w="1707"/>
        <w:gridCol w:w="1443"/>
      </w:tblGrid>
      <w:tr w:rsidR="00D41BFB" w:rsidRPr="0031364E" w:rsidTr="0031364E">
        <w:trPr>
          <w:trHeight w:val="270"/>
        </w:trPr>
        <w:tc>
          <w:tcPr>
            <w:tcW w:w="4785" w:type="dxa"/>
            <w:vMerge w:val="restart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ProbaPro" w:hAnsi="ProbaPro"/>
                <w:lang w:val="uk-UA"/>
              </w:rPr>
            </w:pPr>
            <w:r w:rsidRPr="0031364E">
              <w:rPr>
                <w:rFonts w:ascii="ProbaPro" w:hAnsi="ProbaPro"/>
                <w:lang w:val="uk-UA"/>
              </w:rPr>
              <w:t>Період застосування</w:t>
            </w:r>
          </w:p>
        </w:tc>
        <w:tc>
          <w:tcPr>
            <w:tcW w:w="4786" w:type="dxa"/>
            <w:gridSpan w:val="3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Фіксована ціна на електричну енергію, в копійках за 1 кВт·год</w:t>
            </w:r>
          </w:p>
        </w:tc>
      </w:tr>
      <w:tr w:rsidR="00D41BFB" w:rsidRPr="0031364E" w:rsidTr="0031364E">
        <w:trPr>
          <w:trHeight w:val="810"/>
        </w:trPr>
        <w:tc>
          <w:tcPr>
            <w:tcW w:w="4785" w:type="dxa"/>
            <w:vMerge/>
            <w:shd w:val="clear" w:color="auto" w:fill="auto"/>
          </w:tcPr>
          <w:p w:rsidR="00D41BFB" w:rsidRPr="0031364E" w:rsidRDefault="00D41BFB" w:rsidP="00A378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без податку на додану вартість</w:t>
            </w:r>
          </w:p>
        </w:tc>
        <w:tc>
          <w:tcPr>
            <w:tcW w:w="1740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 на додану вартість</w:t>
            </w:r>
          </w:p>
        </w:tc>
        <w:tc>
          <w:tcPr>
            <w:tcW w:w="1456" w:type="dxa"/>
            <w:shd w:val="clear" w:color="auto" w:fill="auto"/>
          </w:tcPr>
          <w:p w:rsidR="00D41BFB" w:rsidRPr="0031364E" w:rsidRDefault="00D41BFB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 податком на додану вартість</w:t>
            </w:r>
          </w:p>
        </w:tc>
      </w:tr>
      <w:tr w:rsidR="00B33C8E" w:rsidRPr="0031364E" w:rsidTr="0031364E">
        <w:trPr>
          <w:trHeight w:val="180"/>
        </w:trPr>
        <w:tc>
          <w:tcPr>
            <w:tcW w:w="4785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 1 січня до 30 вересня 2021 року</w:t>
            </w:r>
          </w:p>
        </w:tc>
        <w:tc>
          <w:tcPr>
            <w:tcW w:w="159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740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456" w:type="dxa"/>
            <w:shd w:val="clear" w:color="auto" w:fill="auto"/>
          </w:tcPr>
          <w:p w:rsidR="00B33C8E" w:rsidRPr="0031364E" w:rsidRDefault="00B33C8E" w:rsidP="0031364E">
            <w:pPr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</w:tbl>
    <w:p w:rsidR="00620B57" w:rsidRDefault="00620B57" w:rsidP="00A3783C">
      <w:pPr>
        <w:rPr>
          <w:rFonts w:ascii="Times New Roman" w:hAnsi="Times New Roman"/>
          <w:sz w:val="28"/>
          <w:szCs w:val="28"/>
        </w:rPr>
      </w:pPr>
    </w:p>
    <w:p w:rsidR="00B33C8E" w:rsidRPr="0031364E" w:rsidRDefault="00B33C8E" w:rsidP="00B33C8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b/>
          <w:color w:val="000000"/>
          <w:lang w:eastAsia="ru-RU"/>
        </w:rPr>
        <w:t>2. Фіксована ціна, визначена пунктом 1, застосовується до електричної енергії, що купується у постачальників універсальних послуг та споживається</w:t>
      </w:r>
      <w:r w:rsidRPr="0031364E">
        <w:rPr>
          <w:rFonts w:ascii="ProbaPro" w:eastAsia="Times New Roman" w:hAnsi="ProbaPro"/>
          <w:color w:val="000000"/>
          <w:lang w:eastAsia="ru-RU"/>
        </w:rPr>
        <w:t>: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індивідуальними та колективними побутовими споживачами, в тому числі – у гуртожитках, що розраховуються за електричну енергію за загальним розрахунковим засобом обліку в частині споживання електричної енергії фізичними особами для забезпечення власних побутових потреб, які не включають професійну та/або господарську діяльність;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у багатоквартирних житлових будинках (в тому числі гуртожитках) на технічні цілі (роботу індивідуальних теплових пунктів, котелень, ліфтів, насосів та замково-переговорних пристроїв, що належать власникам квартир багатоквартирного будинку на праві спільної власності) та освітлення дворів, східців і номерних знаків;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у дачних та дачно-будівельних кооперативах, садових товариствах, гаражно-будівельних кооперативах на технічні цілі (роботу насосів) та освітлення території;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юридичними особами, які є власниками (балансоутримувачами) майна, що використовується для компактного поселення внутрішньо переміщених осіб (містечок із збірних модулів, гуртожитків, оздоровчих таборів, будинків відпочинку, санаторіїв, пансіонатів, готелів тощо), у частині задоволення власних побутових потреб внутрішньо переміщених осіб;</w:t>
      </w:r>
    </w:p>
    <w:p w:rsidR="00B33C8E" w:rsidRPr="0031364E" w:rsidRDefault="00B33C8E" w:rsidP="00B33C8E">
      <w:pPr>
        <w:numPr>
          <w:ilvl w:val="0"/>
          <w:numId w:val="16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релігійними організаціями в частині споживання електричної енергії на комунально-побутові потреби.</w:t>
      </w:r>
    </w:p>
    <w:p w:rsidR="00B33C8E" w:rsidRPr="0031364E" w:rsidRDefault="00B33C8E" w:rsidP="00B33C8E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b/>
          <w:color w:val="000000"/>
          <w:lang w:eastAsia="ru-RU"/>
        </w:rPr>
      </w:pPr>
      <w:r w:rsidRPr="0031364E">
        <w:rPr>
          <w:rFonts w:ascii="ProbaPro" w:eastAsia="Times New Roman" w:hAnsi="ProbaPro"/>
          <w:b/>
          <w:color w:val="000000"/>
          <w:lang w:eastAsia="ru-RU"/>
        </w:rPr>
        <w:lastRenderedPageBreak/>
        <w:t>3. За наявності обліку споживання електричної енергії за періодами часу розрахунки споживачів, зазначених у підпункті 1 пункту 2, проводяться за фіксованою ціною на електричну енергію, визначеною пунктом 1, із застосуванням таких коефіцієнтів (за вибором споживача):</w:t>
      </w:r>
    </w:p>
    <w:p w:rsidR="00B33C8E" w:rsidRPr="0031364E" w:rsidRDefault="00B33C8E" w:rsidP="00B33C8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1) </w:t>
      </w:r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за двозонним диференціюванням</w:t>
      </w:r>
      <w:r w:rsidRPr="0031364E">
        <w:rPr>
          <w:rFonts w:ascii="ProbaPro" w:eastAsia="Times New Roman" w:hAnsi="ProbaPro"/>
          <w:color w:val="000000"/>
          <w:lang w:eastAsia="ru-RU"/>
        </w:rPr>
        <w:t> за періодами часу:</w:t>
      </w:r>
    </w:p>
    <w:p w:rsidR="00B33C8E" w:rsidRPr="0031364E" w:rsidRDefault="00B33C8E" w:rsidP="00B33C8E">
      <w:pPr>
        <w:numPr>
          <w:ilvl w:val="0"/>
          <w:numId w:val="19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0,5 фіксованої ціни в години нічного мінімального навантаження енергосистеми (з 23-ї до 7-ї години);</w:t>
      </w:r>
    </w:p>
    <w:p w:rsidR="00B33C8E" w:rsidRPr="0031364E" w:rsidRDefault="00B33C8E" w:rsidP="00B33C8E">
      <w:pPr>
        <w:numPr>
          <w:ilvl w:val="0"/>
          <w:numId w:val="19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повна фіксована ціна в інші години доби;</w:t>
      </w:r>
    </w:p>
    <w:p w:rsidR="00B33C8E" w:rsidRPr="0031364E" w:rsidRDefault="00B33C8E" w:rsidP="00B33C8E">
      <w:p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</w:p>
    <w:p w:rsidR="00B33C8E" w:rsidRPr="0031364E" w:rsidRDefault="00B33C8E" w:rsidP="00B33C8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2) </w:t>
      </w:r>
      <w:r w:rsidRPr="0031364E">
        <w:rPr>
          <w:rFonts w:ascii="ProbaPro" w:eastAsia="Times New Roman" w:hAnsi="ProbaPro"/>
          <w:b/>
          <w:bCs/>
          <w:color w:val="000000"/>
          <w:bdr w:val="none" w:sz="0" w:space="0" w:color="auto" w:frame="1"/>
          <w:lang w:eastAsia="ru-RU"/>
        </w:rPr>
        <w:t>за тризонним диференціюванням</w:t>
      </w:r>
      <w:r w:rsidRPr="0031364E">
        <w:rPr>
          <w:rFonts w:ascii="ProbaPro" w:eastAsia="Times New Roman" w:hAnsi="ProbaPro"/>
          <w:color w:val="000000"/>
          <w:lang w:eastAsia="ru-RU"/>
        </w:rPr>
        <w:t> за періодами часу: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1,5 фіксованої ціни в години максимального навантаження енергосистеми (з 8-ї до 11-ї години і з 20-ї до 22-ї години);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15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повна фіксована ціна у напівпіковий період (з 7-ї до 8-ї години, з 11-ї до 20-ї години, з 22-ї до 23-ї години);</w:t>
      </w:r>
    </w:p>
    <w:p w:rsidR="00B33C8E" w:rsidRPr="0031364E" w:rsidRDefault="00B33C8E" w:rsidP="00B33C8E">
      <w:pPr>
        <w:numPr>
          <w:ilvl w:val="0"/>
          <w:numId w:val="20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ProbaPro" w:eastAsia="Times New Roman" w:hAnsi="ProbaPro"/>
          <w:color w:val="000000"/>
          <w:lang w:eastAsia="ru-RU"/>
        </w:rPr>
      </w:pPr>
      <w:r w:rsidRPr="0031364E">
        <w:rPr>
          <w:rFonts w:ascii="ProbaPro" w:eastAsia="Times New Roman" w:hAnsi="ProbaPro"/>
          <w:color w:val="000000"/>
          <w:lang w:eastAsia="ru-RU"/>
        </w:rPr>
        <w:t>0,4 фіксованої ціни в години нічного мінімального навантаження енергосистеми (з 23-ї до 7-ї години).</w:t>
      </w:r>
    </w:p>
    <w:p w:rsidR="003D7261" w:rsidRDefault="00620B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0B57">
        <w:rPr>
          <w:rFonts w:ascii="Times New Roman" w:hAnsi="Times New Roman"/>
          <w:sz w:val="28"/>
          <w:szCs w:val="28"/>
        </w:rPr>
        <w:br w:type="page"/>
      </w:r>
    </w:p>
    <w:p w:rsidR="00202FB5" w:rsidRPr="00B33C8E" w:rsidRDefault="00620B57" w:rsidP="00620B57">
      <w:pPr>
        <w:jc w:val="center"/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</w:pPr>
      <w:r w:rsidRPr="00620B57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</w:rPr>
        <w:lastRenderedPageBreak/>
        <w:t>Фіксовані ціни на електричну енергію для побутових споживачів (населення) з 01.07.2019</w:t>
      </w:r>
      <w:r w:rsidR="00B33C8E">
        <w:rPr>
          <w:rFonts w:ascii="Times New Roman" w:hAnsi="Times New Roman"/>
          <w:b/>
          <w:bCs/>
          <w:color w:val="1D1D1D"/>
          <w:sz w:val="28"/>
          <w:szCs w:val="28"/>
          <w:shd w:val="clear" w:color="auto" w:fill="FFFFFF"/>
          <w:lang w:val="uk-UA"/>
        </w:rPr>
        <w:t xml:space="preserve"> до 01.01.2021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1290"/>
        <w:gridCol w:w="1252"/>
        <w:gridCol w:w="1299"/>
      </w:tblGrid>
      <w:tr w:rsidR="00620B57" w:rsidRPr="0031364E" w:rsidTr="003D7261">
        <w:trPr>
          <w:trHeight w:val="20"/>
        </w:trPr>
        <w:tc>
          <w:tcPr>
            <w:tcW w:w="5382" w:type="dxa"/>
            <w:vMerge w:val="restart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Категорії споживачів</w:t>
            </w:r>
          </w:p>
        </w:tc>
        <w:tc>
          <w:tcPr>
            <w:tcW w:w="3841" w:type="dxa"/>
            <w:gridSpan w:val="3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Тарифи на електроенергію, в копійках, за 1 кВт·год</w:t>
            </w: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vMerge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без податку на додану вартість</w:t>
            </w:r>
          </w:p>
        </w:tc>
        <w:tc>
          <w:tcPr>
            <w:tcW w:w="125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податок на додану вартість</w:t>
            </w:r>
          </w:p>
        </w:tc>
        <w:tc>
          <w:tcPr>
            <w:tcW w:w="1299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 податком на додану вартість</w:t>
            </w: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364E">
              <w:rPr>
                <w:rFonts w:ascii="ProbaPro" w:hAnsi="ProbaPro"/>
                <w:i/>
                <w:color w:val="000000"/>
                <w:shd w:val="clear" w:color="auto" w:fill="FFFFFF"/>
              </w:rPr>
              <w:t>1. Електроенергія, що відпускається:</w:t>
            </w:r>
          </w:p>
        </w:tc>
        <w:tc>
          <w:tcPr>
            <w:tcW w:w="1290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25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299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</w:tr>
      <w:tr w:rsidR="003D7261" w:rsidRPr="0031364E" w:rsidTr="003D7261">
        <w:trPr>
          <w:trHeight w:val="20"/>
        </w:trPr>
        <w:tc>
          <w:tcPr>
            <w:tcW w:w="9223" w:type="dxa"/>
            <w:gridSpan w:val="4"/>
            <w:shd w:val="clear" w:color="auto" w:fill="auto"/>
          </w:tcPr>
          <w:p w:rsidR="003D7261" w:rsidRPr="0031364E" w:rsidRDefault="003D7261" w:rsidP="003D7261">
            <w:pPr>
              <w:spacing w:after="0" w:line="240" w:lineRule="auto"/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1.1. Населенню (у тому числі яке проживає в житлових будинках, обладнаних кухонними електроплитами) (у тому числі в сільській місцевості):</w:t>
            </w: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620B57" w:rsidRPr="003D7261" w:rsidRDefault="00620B57" w:rsidP="003D7261">
            <w:pPr>
              <w:spacing w:after="0" w:line="240" w:lineRule="auto"/>
              <w:rPr>
                <w:rFonts w:ascii="ProbaPro" w:hAnsi="ProbaPro"/>
                <w:color w:val="000000"/>
                <w:shd w:val="clear" w:color="auto" w:fill="FFFFFF"/>
                <w:lang w:val="en-US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за обсяг, спожитий до 100 кВт∙год електроенергії на місяць (включно</w:t>
            </w:r>
            <w:r w:rsidR="003D7261">
              <w:rPr>
                <w:rFonts w:ascii="ProbaPro" w:hAnsi="ProbaPro"/>
                <w:color w:val="000000"/>
                <w:shd w:val="clear" w:color="auto" w:fill="FFFFFF"/>
                <w:lang w:val="en-US"/>
              </w:rPr>
              <w:t>):</w:t>
            </w:r>
          </w:p>
          <w:p w:rsidR="00620B57" w:rsidRPr="003D7261" w:rsidRDefault="00620B57" w:rsidP="003D726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за обсяг, спожитий понад 100 кВт∙год електроенергії на місяць</w:t>
            </w:r>
            <w:r w:rsidR="003D7261"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90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75</w:t>
            </w: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252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299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3D7261" w:rsidRPr="0031364E" w:rsidTr="003D7261">
        <w:trPr>
          <w:trHeight w:val="20"/>
        </w:trPr>
        <w:tc>
          <w:tcPr>
            <w:tcW w:w="9223" w:type="dxa"/>
            <w:gridSpan w:val="4"/>
            <w:shd w:val="clear" w:color="auto" w:fill="auto"/>
          </w:tcPr>
          <w:p w:rsidR="003D7261" w:rsidRPr="0031364E" w:rsidRDefault="003D7261" w:rsidP="003D7261">
            <w:pPr>
              <w:spacing w:after="0" w:line="240" w:lineRule="auto"/>
              <w:jc w:val="both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1.2. Населенню, яке проживає в житлових будинках (у тому числі в житлових будинках готельного типу, квартирах та гуртожитках), обладнаних у встановленому порядку електроопалювальними установками (у тому числі в сільській місцевості):</w:t>
            </w: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1.2.1. У період з 01 травня по 30 вересня (включно) відповідно до підпункту 1.1</w:t>
            </w:r>
          </w:p>
        </w:tc>
        <w:tc>
          <w:tcPr>
            <w:tcW w:w="1290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25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99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1.2.2. У період з 01 жовтня по 30 квітня (включно):</w:t>
            </w:r>
          </w:p>
        </w:tc>
        <w:tc>
          <w:tcPr>
            <w:tcW w:w="1290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</w:rPr>
            </w:pPr>
          </w:p>
        </w:tc>
        <w:tc>
          <w:tcPr>
            <w:tcW w:w="1252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99" w:type="dxa"/>
            <w:shd w:val="clear" w:color="auto" w:fill="auto"/>
          </w:tcPr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620B57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620B57" w:rsidRPr="003D7261" w:rsidRDefault="00620B57" w:rsidP="003D7261">
            <w:pPr>
              <w:shd w:val="clear" w:color="auto" w:fill="FFFFFF"/>
              <w:spacing w:after="0" w:line="240" w:lineRule="auto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за обсяг, спожитий до 3000 кВт∙год електроенергії на місяць (включно)</w:t>
            </w:r>
            <w:r w:rsidR="003D7261"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20B57" w:rsidRPr="003D7261" w:rsidRDefault="00620B57" w:rsidP="003D7261">
            <w:pPr>
              <w:shd w:val="clear" w:color="auto" w:fill="FFFFFF"/>
              <w:spacing w:after="0" w:line="240" w:lineRule="auto"/>
              <w:textAlignment w:val="baseline"/>
              <w:rPr>
                <w:rFonts w:ascii="ProbaPro" w:hAnsi="ProbaPro"/>
                <w:color w:val="000000"/>
                <w:shd w:val="clear" w:color="auto" w:fill="FFFFFF"/>
                <w:lang w:val="en-US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за обсяг, спожитий понад 3000 кВт∙год електроенергії на місяць</w:t>
            </w:r>
            <w:r w:rsidR="003D7261"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90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252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299" w:type="dxa"/>
            <w:shd w:val="clear" w:color="auto" w:fill="auto"/>
          </w:tcPr>
          <w:p w:rsidR="003D7261" w:rsidRDefault="003D7261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620B57" w:rsidRPr="0031364E" w:rsidRDefault="00620B57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3D7261" w:rsidRPr="0031364E" w:rsidTr="003D7261">
        <w:trPr>
          <w:trHeight w:val="20"/>
        </w:trPr>
        <w:tc>
          <w:tcPr>
            <w:tcW w:w="9223" w:type="dxa"/>
            <w:gridSpan w:val="4"/>
            <w:shd w:val="clear" w:color="auto" w:fill="auto"/>
          </w:tcPr>
          <w:p w:rsidR="003D7261" w:rsidRPr="0031364E" w:rsidRDefault="003D7261" w:rsidP="003D7261">
            <w:pPr>
              <w:spacing w:after="0" w:line="240" w:lineRule="auto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1.3. Населенню, яке проживає в багатоквартирних будинках, не газифікованих природним газом і в яких відсутні або не функціонують системи централізованого теплопостачання (у тому числі в сільській місцевості):</w:t>
            </w: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1.3.1. У період з 01 травня по 30 вересня (включно) відповідно до підпункту 1.1</w:t>
            </w:r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rPr>
                <w:rFonts w:ascii="ProbaPro" w:hAnsi="ProbaPro"/>
                <w:b/>
                <w:color w:val="000000"/>
                <w:shd w:val="clear" w:color="auto" w:fill="FFFFFF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</w:rPr>
              <w:t>1.3.2. У період з 01 жовтня по 30 квітня (включно):</w:t>
            </w:r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D7261" w:rsidRDefault="00D41BFB" w:rsidP="003D7261">
            <w:pPr>
              <w:shd w:val="clear" w:color="auto" w:fill="FFFFFF"/>
              <w:spacing w:after="0" w:line="240" w:lineRule="auto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за обсяг, спожитий до 3000 кВт∙год електроенергії на місяць (включно)</w:t>
            </w:r>
            <w:r w:rsidR="003D7261"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D41BFB" w:rsidRPr="003D7261" w:rsidRDefault="00D41BFB" w:rsidP="003D7261">
            <w:pPr>
              <w:shd w:val="clear" w:color="auto" w:fill="FFFFFF"/>
              <w:spacing w:after="0" w:line="240" w:lineRule="auto"/>
              <w:textAlignment w:val="baseline"/>
              <w:rPr>
                <w:rFonts w:ascii="ProbaPro" w:hAnsi="ProbaPro"/>
                <w:b/>
                <w:color w:val="000000"/>
                <w:shd w:val="clear" w:color="auto" w:fill="FFFFFF"/>
                <w:lang w:val="en-US"/>
              </w:rPr>
            </w:pPr>
            <w:r w:rsidRPr="0031364E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за обсяг, спожитий понад 3000 кВт∙год електроенергії на місяць</w:t>
            </w:r>
            <w:r w:rsidR="003D7261">
              <w:rPr>
                <w:rFonts w:ascii="ProbaPro" w:eastAsia="Times New Roman" w:hAnsi="ProbaPro"/>
                <w:color w:val="000000"/>
                <w:sz w:val="24"/>
                <w:szCs w:val="24"/>
                <w:lang w:val="en-US" w:eastAsia="ru-RU"/>
              </w:rPr>
              <w:t>:</w:t>
            </w:r>
            <w:bookmarkStart w:id="16" w:name="_GoBack"/>
            <w:bookmarkEnd w:id="16"/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</w:p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1.4. Для багатодітних, прийомних сімей та дитячих будинків сімейного типу незалежно від обсягів споживання електроенергії</w:t>
            </w:r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1.5. Населенню, яке розраховується з енергопостачальною організацією за загальним розрахунковим засобом обліку та об'єднане шляхом створення юридичної особи, житлово-експлуатаційним організаціям, крім гуртожитків</w:t>
            </w:r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140</w:t>
            </w: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28</w:t>
            </w: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168</w:t>
            </w:r>
          </w:p>
        </w:tc>
      </w:tr>
      <w:tr w:rsidR="00D41BFB" w:rsidRPr="0031364E" w:rsidTr="003D7261">
        <w:trPr>
          <w:trHeight w:val="20"/>
        </w:trPr>
        <w:tc>
          <w:tcPr>
            <w:tcW w:w="538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rPr>
                <w:rFonts w:ascii="ProbaPro" w:eastAsia="Times New Roman" w:hAnsi="ProbaPro"/>
                <w:b/>
                <w:color w:val="212529"/>
                <w:sz w:val="24"/>
                <w:szCs w:val="24"/>
                <w:lang w:eastAsia="ru-RU"/>
              </w:rPr>
            </w:pPr>
            <w:r w:rsidRPr="0031364E">
              <w:rPr>
                <w:rFonts w:ascii="ProbaPro" w:hAnsi="ProbaPro"/>
                <w:b/>
                <w:color w:val="000000"/>
                <w:shd w:val="clear" w:color="auto" w:fill="FFFFFF"/>
              </w:rPr>
              <w:t>1.6. Гуртожиткам (які підпадають під визначення «населення, яке розраховується з енергопостачальною організацією за загальним розрахунковим засобом обліку»)</w:t>
            </w:r>
          </w:p>
        </w:tc>
        <w:tc>
          <w:tcPr>
            <w:tcW w:w="1290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75</w:t>
            </w:r>
          </w:p>
        </w:tc>
        <w:tc>
          <w:tcPr>
            <w:tcW w:w="1252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15</w:t>
            </w:r>
          </w:p>
        </w:tc>
        <w:tc>
          <w:tcPr>
            <w:tcW w:w="1299" w:type="dxa"/>
            <w:shd w:val="clear" w:color="auto" w:fill="auto"/>
          </w:tcPr>
          <w:p w:rsidR="00D41BFB" w:rsidRPr="0031364E" w:rsidRDefault="00D41BFB" w:rsidP="003D7261">
            <w:pPr>
              <w:spacing w:after="0" w:line="240" w:lineRule="auto"/>
              <w:jc w:val="center"/>
              <w:rPr>
                <w:rFonts w:ascii="ProbaPro" w:hAnsi="ProbaPro"/>
                <w:color w:val="000000"/>
                <w:shd w:val="clear" w:color="auto" w:fill="FFFFFF"/>
                <w:lang w:val="uk-UA"/>
              </w:rPr>
            </w:pPr>
            <w:r w:rsidRPr="0031364E">
              <w:rPr>
                <w:rFonts w:ascii="ProbaPro" w:hAnsi="ProbaPro"/>
                <w:color w:val="000000"/>
                <w:shd w:val="clear" w:color="auto" w:fill="FFFFFF"/>
                <w:lang w:val="uk-UA"/>
              </w:rPr>
              <w:t>90</w:t>
            </w:r>
          </w:p>
        </w:tc>
      </w:tr>
    </w:tbl>
    <w:p w:rsidR="00620B57" w:rsidRDefault="00620B57" w:rsidP="00D41BFB">
      <w:pPr>
        <w:rPr>
          <w:rFonts w:ascii="Times New Roman" w:hAnsi="Times New Roman"/>
          <w:sz w:val="28"/>
          <w:szCs w:val="28"/>
        </w:rPr>
      </w:pPr>
    </w:p>
    <w:p w:rsidR="00D41BFB" w:rsidRPr="00620B57" w:rsidRDefault="00D41BFB" w:rsidP="00D41BFB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* </w:t>
      </w: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01.07.2019</w:t>
      </w: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 з початком дії нового ринку електричної енергії </w:t>
      </w:r>
      <w:r>
        <w:rPr>
          <w:rStyle w:val="a9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у Регулятора відсутні повноваження щодо встановлення цін на електричну енергію для побутових споживачів (населення)</w:t>
      </w:r>
      <w:r>
        <w:rPr>
          <w:rFonts w:ascii="ProbaPro" w:hAnsi="ProbaPro"/>
          <w:color w:val="000000"/>
          <w:sz w:val="27"/>
          <w:szCs w:val="27"/>
          <w:shd w:val="clear" w:color="auto" w:fill="FFFFFF"/>
        </w:rPr>
        <w:t>.</w:t>
      </w:r>
    </w:p>
    <w:sectPr w:rsidR="00D41BFB" w:rsidRPr="0062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42F" w:rsidRDefault="0010542F" w:rsidP="00C21880">
      <w:pPr>
        <w:spacing w:after="0" w:line="240" w:lineRule="auto"/>
      </w:pPr>
      <w:r>
        <w:separator/>
      </w:r>
    </w:p>
  </w:endnote>
  <w:endnote w:type="continuationSeparator" w:id="0">
    <w:p w:rsidR="0010542F" w:rsidRDefault="0010542F" w:rsidP="00C2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42F" w:rsidRDefault="0010542F" w:rsidP="00C21880">
      <w:pPr>
        <w:spacing w:after="0" w:line="240" w:lineRule="auto"/>
      </w:pPr>
      <w:r>
        <w:separator/>
      </w:r>
    </w:p>
  </w:footnote>
  <w:footnote w:type="continuationSeparator" w:id="0">
    <w:p w:rsidR="0010542F" w:rsidRDefault="0010542F" w:rsidP="00C2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6C53"/>
    <w:multiLevelType w:val="multilevel"/>
    <w:tmpl w:val="D42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16BDA"/>
    <w:multiLevelType w:val="hybridMultilevel"/>
    <w:tmpl w:val="BDE0F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EE7"/>
    <w:multiLevelType w:val="hybridMultilevel"/>
    <w:tmpl w:val="6D4A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377B"/>
    <w:multiLevelType w:val="hybridMultilevel"/>
    <w:tmpl w:val="524A6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2AE"/>
    <w:multiLevelType w:val="multilevel"/>
    <w:tmpl w:val="BAB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D1550"/>
    <w:multiLevelType w:val="multilevel"/>
    <w:tmpl w:val="8E7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6A35"/>
    <w:multiLevelType w:val="multilevel"/>
    <w:tmpl w:val="7EC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24B19"/>
    <w:multiLevelType w:val="hybridMultilevel"/>
    <w:tmpl w:val="7E3C2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48C3"/>
    <w:multiLevelType w:val="hybridMultilevel"/>
    <w:tmpl w:val="32FA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3A28"/>
    <w:multiLevelType w:val="hybridMultilevel"/>
    <w:tmpl w:val="DFDCB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B6473"/>
    <w:multiLevelType w:val="multilevel"/>
    <w:tmpl w:val="9AAA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robaPro" w:eastAsia="Times New Roman" w:hAnsi="ProbaPr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50B3A"/>
    <w:multiLevelType w:val="hybridMultilevel"/>
    <w:tmpl w:val="3EB2C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678F"/>
    <w:multiLevelType w:val="multilevel"/>
    <w:tmpl w:val="657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6038B"/>
    <w:multiLevelType w:val="hybridMultilevel"/>
    <w:tmpl w:val="667A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539B8"/>
    <w:multiLevelType w:val="multilevel"/>
    <w:tmpl w:val="F81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C45E5"/>
    <w:multiLevelType w:val="hybridMultilevel"/>
    <w:tmpl w:val="44CEE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D341B"/>
    <w:multiLevelType w:val="hybridMultilevel"/>
    <w:tmpl w:val="47F8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2466D"/>
    <w:multiLevelType w:val="multilevel"/>
    <w:tmpl w:val="FBB2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A337D"/>
    <w:multiLevelType w:val="hybridMultilevel"/>
    <w:tmpl w:val="FF74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14332"/>
    <w:multiLevelType w:val="multilevel"/>
    <w:tmpl w:val="218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66898"/>
    <w:multiLevelType w:val="hybridMultilevel"/>
    <w:tmpl w:val="B02C2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51A91"/>
    <w:multiLevelType w:val="hybridMultilevel"/>
    <w:tmpl w:val="36FA9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F56EA"/>
    <w:multiLevelType w:val="multilevel"/>
    <w:tmpl w:val="4AB4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C43CC"/>
    <w:multiLevelType w:val="hybridMultilevel"/>
    <w:tmpl w:val="736A3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1"/>
  </w:num>
  <w:num w:numId="5">
    <w:abstractNumId w:val="21"/>
  </w:num>
  <w:num w:numId="6">
    <w:abstractNumId w:val="1"/>
  </w:num>
  <w:num w:numId="7">
    <w:abstractNumId w:val="23"/>
  </w:num>
  <w:num w:numId="8">
    <w:abstractNumId w:val="9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22"/>
  </w:num>
  <w:num w:numId="14">
    <w:abstractNumId w:val="12"/>
  </w:num>
  <w:num w:numId="15">
    <w:abstractNumId w:val="14"/>
  </w:num>
  <w:num w:numId="16">
    <w:abstractNumId w:val="10"/>
  </w:num>
  <w:num w:numId="17">
    <w:abstractNumId w:val="0"/>
  </w:num>
  <w:num w:numId="18">
    <w:abstractNumId w:val="19"/>
  </w:num>
  <w:num w:numId="19">
    <w:abstractNumId w:val="18"/>
  </w:num>
  <w:num w:numId="20">
    <w:abstractNumId w:val="3"/>
  </w:num>
  <w:num w:numId="21">
    <w:abstractNumId w:val="2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49"/>
    <w:rsid w:val="000272E0"/>
    <w:rsid w:val="00037939"/>
    <w:rsid w:val="000B6640"/>
    <w:rsid w:val="000B6D3D"/>
    <w:rsid w:val="000D1994"/>
    <w:rsid w:val="000D2D8D"/>
    <w:rsid w:val="0010542F"/>
    <w:rsid w:val="00137B5B"/>
    <w:rsid w:val="001517EA"/>
    <w:rsid w:val="001768A1"/>
    <w:rsid w:val="001860AC"/>
    <w:rsid w:val="001B6BE5"/>
    <w:rsid w:val="00202FB5"/>
    <w:rsid w:val="0021264F"/>
    <w:rsid w:val="00214016"/>
    <w:rsid w:val="00221D74"/>
    <w:rsid w:val="00245284"/>
    <w:rsid w:val="00260DF3"/>
    <w:rsid w:val="002711BF"/>
    <w:rsid w:val="00287919"/>
    <w:rsid w:val="002B00BB"/>
    <w:rsid w:val="002B4CBB"/>
    <w:rsid w:val="0031364E"/>
    <w:rsid w:val="00325CB0"/>
    <w:rsid w:val="00336C22"/>
    <w:rsid w:val="00341AF9"/>
    <w:rsid w:val="003D7261"/>
    <w:rsid w:val="003E4F2D"/>
    <w:rsid w:val="003F6B47"/>
    <w:rsid w:val="00453E45"/>
    <w:rsid w:val="00496047"/>
    <w:rsid w:val="004F18A9"/>
    <w:rsid w:val="005115D0"/>
    <w:rsid w:val="005150E9"/>
    <w:rsid w:val="00530DE8"/>
    <w:rsid w:val="00543EB6"/>
    <w:rsid w:val="00582E1E"/>
    <w:rsid w:val="005D5C00"/>
    <w:rsid w:val="005E7ADE"/>
    <w:rsid w:val="006102B2"/>
    <w:rsid w:val="00620B57"/>
    <w:rsid w:val="00641000"/>
    <w:rsid w:val="00675601"/>
    <w:rsid w:val="00693D92"/>
    <w:rsid w:val="006A6BED"/>
    <w:rsid w:val="00750005"/>
    <w:rsid w:val="007530FE"/>
    <w:rsid w:val="007968A8"/>
    <w:rsid w:val="007A09F3"/>
    <w:rsid w:val="00840F78"/>
    <w:rsid w:val="00854D25"/>
    <w:rsid w:val="00857C3A"/>
    <w:rsid w:val="00864668"/>
    <w:rsid w:val="00882B9D"/>
    <w:rsid w:val="008862B1"/>
    <w:rsid w:val="00896B92"/>
    <w:rsid w:val="008B1E49"/>
    <w:rsid w:val="00915B67"/>
    <w:rsid w:val="0097336E"/>
    <w:rsid w:val="00976152"/>
    <w:rsid w:val="00981F04"/>
    <w:rsid w:val="009A13CA"/>
    <w:rsid w:val="009C4892"/>
    <w:rsid w:val="009F3E0C"/>
    <w:rsid w:val="00A06AAF"/>
    <w:rsid w:val="00A3783C"/>
    <w:rsid w:val="00A5147C"/>
    <w:rsid w:val="00A7493D"/>
    <w:rsid w:val="00A92383"/>
    <w:rsid w:val="00AB4A47"/>
    <w:rsid w:val="00B012FC"/>
    <w:rsid w:val="00B33C8E"/>
    <w:rsid w:val="00B462E1"/>
    <w:rsid w:val="00B64D59"/>
    <w:rsid w:val="00C21880"/>
    <w:rsid w:val="00C32E7D"/>
    <w:rsid w:val="00C66A49"/>
    <w:rsid w:val="00C73902"/>
    <w:rsid w:val="00CA37DA"/>
    <w:rsid w:val="00CE4562"/>
    <w:rsid w:val="00CF3A24"/>
    <w:rsid w:val="00D121A2"/>
    <w:rsid w:val="00D41BFB"/>
    <w:rsid w:val="00D51CA0"/>
    <w:rsid w:val="00D77FED"/>
    <w:rsid w:val="00D91D7A"/>
    <w:rsid w:val="00D93B60"/>
    <w:rsid w:val="00D961F9"/>
    <w:rsid w:val="00DE0F99"/>
    <w:rsid w:val="00DE52A7"/>
    <w:rsid w:val="00E13EE0"/>
    <w:rsid w:val="00E2514F"/>
    <w:rsid w:val="00E27432"/>
    <w:rsid w:val="00E34FEE"/>
    <w:rsid w:val="00E80D79"/>
    <w:rsid w:val="00E87CA8"/>
    <w:rsid w:val="00EE327D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40329D-240A-4F91-9860-3963EF0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6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88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C2188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188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C21880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4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semiHidden/>
    <w:rsid w:val="00641000"/>
    <w:rPr>
      <w:rFonts w:ascii="Courier New" w:eastAsia="Times New Roman" w:hAnsi="Courier New" w:cs="Courier New"/>
    </w:rPr>
  </w:style>
  <w:style w:type="character" w:customStyle="1" w:styleId="y2iqfc">
    <w:name w:val="y2iqfc"/>
    <w:rsid w:val="00641000"/>
  </w:style>
  <w:style w:type="table" w:styleId="a8">
    <w:name w:val="Table Grid"/>
    <w:basedOn w:val="a1"/>
    <w:uiPriority w:val="39"/>
    <w:rsid w:val="0062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41BFB"/>
    <w:rPr>
      <w:b/>
      <w:bCs/>
    </w:rPr>
  </w:style>
  <w:style w:type="paragraph" w:styleId="aa">
    <w:name w:val="Normal (Web)"/>
    <w:basedOn w:val="a"/>
    <w:uiPriority w:val="99"/>
    <w:semiHidden/>
    <w:unhideWhenUsed/>
    <w:rsid w:val="00D41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D41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172019?ed=2023_03_31&amp;an=1719" TargetMode="External"/><Relationship Id="rId13" Type="http://schemas.openxmlformats.org/officeDocument/2006/relationships/hyperlink" Target="https://zakon.rada.gov.ua/laws/show/483-2019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83-2019-%D0%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83-2019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483-201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83-2019-%D0%BF" TargetMode="External"/><Relationship Id="rId14" Type="http://schemas.openxmlformats.org/officeDocument/2006/relationships/hyperlink" Target="https://zakon.rada.gov.ua/laws/show/859-2021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5885-C431-45BB-96CD-3B6D4B01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8061</Words>
  <Characters>4596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12632</CharactersWithSpaces>
  <SharedDoc>false</SharedDoc>
  <HLinks>
    <vt:vector size="42" baseType="variant">
      <vt:variant>
        <vt:i4>458767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https://zakon.rada.gov.ua/laws/show/859-2021-%D0%BF</vt:lpwstr>
      </vt:variant>
      <vt:variant>
        <vt:lpwstr>n2</vt:lpwstr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Text</vt:lpwstr>
      </vt:variant>
      <vt:variant>
        <vt:i4>2162792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Text</vt:lpwstr>
      </vt:variant>
      <vt:variant>
        <vt:i4>3342395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n516</vt:lpwstr>
      </vt:variant>
      <vt:variant>
        <vt:i4>3932219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n519</vt:lpwstr>
      </vt:variant>
      <vt:variant>
        <vt:i4>3342395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https://zakon.rada.gov.ua/laws/show/483-2019-%D0%BF</vt:lpwstr>
      </vt:variant>
      <vt:variant>
        <vt:lpwstr>n516</vt:lpwstr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https://ips.ligazakon.net/document/view/t172019?ed=2023_03_31&amp;an=1719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Міньковський Олександр Віталійович</cp:lastModifiedBy>
  <cp:revision>5</cp:revision>
  <dcterms:created xsi:type="dcterms:W3CDTF">2025-07-22T10:16:00Z</dcterms:created>
  <dcterms:modified xsi:type="dcterms:W3CDTF">2025-07-22T10:53:00Z</dcterms:modified>
</cp:coreProperties>
</file>