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57" w:rsidRDefault="00B33C8E" w:rsidP="00B33C8E">
      <w:pPr>
        <w:jc w:val="center"/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proofErr w:type="spellStart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Фіксовані</w:t>
      </w:r>
      <w:proofErr w:type="spellEnd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ціни</w:t>
      </w:r>
      <w:proofErr w:type="spellEnd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на </w:t>
      </w:r>
      <w:proofErr w:type="spellStart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електричну</w:t>
      </w:r>
      <w:proofErr w:type="spellEnd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енергію</w:t>
      </w:r>
      <w:proofErr w:type="spellEnd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для </w:t>
      </w:r>
      <w:proofErr w:type="spellStart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побутових</w:t>
      </w:r>
      <w:proofErr w:type="spellEnd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споживачів</w:t>
      </w:r>
      <w:proofErr w:type="spellEnd"/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з 01.10.2021</w:t>
      </w:r>
      <w:r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  <w:t xml:space="preserve"> до 31.05.2023</w:t>
      </w:r>
    </w:p>
    <w:p w:rsidR="005115D0" w:rsidRDefault="005115D0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sz w:val="27"/>
          <w:szCs w:val="27"/>
          <w:lang w:val="uk-UA"/>
        </w:rPr>
      </w:pPr>
      <w:r w:rsidRPr="005115D0">
        <w:rPr>
          <w:rFonts w:ascii="ProbaPro" w:hAnsi="ProbaPro"/>
          <w:sz w:val="27"/>
          <w:szCs w:val="27"/>
          <w:lang w:val="uk-UA"/>
        </w:rPr>
        <w:t>Ф</w:t>
      </w:r>
      <w:r w:rsidR="00A06AAF" w:rsidRPr="005115D0">
        <w:rPr>
          <w:rFonts w:ascii="ProbaPro" w:hAnsi="ProbaPro"/>
          <w:sz w:val="27"/>
          <w:szCs w:val="27"/>
          <w:lang w:val="uk-UA"/>
        </w:rPr>
        <w:t>іксована ціна на електричну енергію для побутових споживачів встановлюється Кабінетом Міністрів України та діє на всій території України.</w:t>
      </w:r>
    </w:p>
    <w:p w:rsidR="00B33C8E" w:rsidRPr="005115D0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 w:rsidRPr="005115D0">
        <w:rPr>
          <w:rFonts w:ascii="ProbaPro" w:hAnsi="ProbaPro"/>
          <w:color w:val="000000"/>
          <w:sz w:val="27"/>
          <w:szCs w:val="27"/>
          <w:lang w:val="uk-UA"/>
        </w:rPr>
        <w:t xml:space="preserve">Положенням про покладення спеціальних обов'язків на учасників ринку електричної енергії для забезпечення загальносуспільних інтересів у процесі функціонування ринку електричної енергії, затвердженим постановою </w:t>
      </w:r>
      <w:proofErr w:type="spellStart"/>
      <w:r w:rsidRPr="005115D0">
        <w:rPr>
          <w:rFonts w:ascii="ProbaPro" w:hAnsi="ProbaPro"/>
          <w:color w:val="000000"/>
          <w:sz w:val="27"/>
          <w:szCs w:val="27"/>
        </w:rPr>
        <w:t>Кабінету</w:t>
      </w:r>
      <w:proofErr w:type="spellEnd"/>
      <w:r w:rsidRPr="005115D0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Pr="005115D0">
        <w:rPr>
          <w:rFonts w:ascii="ProbaPro" w:hAnsi="ProbaPro"/>
          <w:color w:val="000000"/>
          <w:sz w:val="27"/>
          <w:szCs w:val="27"/>
        </w:rPr>
        <w:t>Міністрів</w:t>
      </w:r>
      <w:proofErr w:type="spellEnd"/>
      <w:r w:rsidRPr="005115D0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Pr="005115D0"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 w:rsidRPr="005115D0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Pr="005115D0">
        <w:rPr>
          <w:rFonts w:ascii="ProbaPro" w:hAnsi="ProbaPro"/>
          <w:color w:val="000000"/>
          <w:sz w:val="27"/>
          <w:szCs w:val="27"/>
        </w:rPr>
        <w:t>від</w:t>
      </w:r>
      <w:proofErr w:type="spellEnd"/>
      <w:r w:rsidRPr="005115D0">
        <w:rPr>
          <w:rFonts w:ascii="ProbaPro" w:hAnsi="ProbaPro"/>
          <w:color w:val="000000"/>
          <w:sz w:val="27"/>
          <w:szCs w:val="27"/>
        </w:rPr>
        <w:t> </w:t>
      </w:r>
      <w:hyperlink r:id="rId8" w:anchor="Text" w:history="1">
        <w:r w:rsidRPr="005115D0">
          <w:rPr>
            <w:rStyle w:val="ab"/>
            <w:rFonts w:ascii="ProbaPro" w:hAnsi="ProbaPro"/>
            <w:color w:val="004BC1"/>
            <w:sz w:val="27"/>
            <w:szCs w:val="27"/>
            <w:bdr w:val="none" w:sz="0" w:space="0" w:color="auto" w:frame="1"/>
          </w:rPr>
          <w:t>05.06.2019 № 483</w:t>
        </w:r>
      </w:hyperlink>
      <w:r w:rsidRPr="005115D0">
        <w:rPr>
          <w:rFonts w:ascii="ProbaPro" w:hAnsi="ProbaPro"/>
          <w:color w:val="000000"/>
          <w:sz w:val="27"/>
          <w:szCs w:val="27"/>
        </w:rPr>
        <w:t> (</w:t>
      </w:r>
      <w:proofErr w:type="spellStart"/>
      <w:r w:rsidRPr="005115D0">
        <w:rPr>
          <w:rFonts w:ascii="ProbaPro" w:hAnsi="ProbaPro"/>
          <w:color w:val="000000"/>
          <w:sz w:val="27"/>
          <w:szCs w:val="27"/>
        </w:rPr>
        <w:t>із</w:t>
      </w:r>
      <w:proofErr w:type="spellEnd"/>
      <w:r w:rsidRPr="005115D0"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 w:rsidRPr="005115D0">
        <w:rPr>
          <w:rFonts w:ascii="ProbaPro" w:hAnsi="ProbaPro"/>
          <w:color w:val="000000"/>
          <w:sz w:val="27"/>
          <w:szCs w:val="27"/>
        </w:rPr>
        <w:t>змінами</w:t>
      </w:r>
      <w:proofErr w:type="spellEnd"/>
      <w:r w:rsidRPr="005115D0">
        <w:rPr>
          <w:rFonts w:ascii="ProbaPro" w:hAnsi="ProbaPro"/>
          <w:color w:val="000000"/>
          <w:sz w:val="27"/>
          <w:szCs w:val="27"/>
        </w:rPr>
        <w:t xml:space="preserve">), </w:t>
      </w:r>
      <w:proofErr w:type="spellStart"/>
      <w:r w:rsidRPr="005115D0">
        <w:rPr>
          <w:rFonts w:ascii="ProbaPro" w:hAnsi="ProbaPro"/>
          <w:color w:val="000000"/>
          <w:sz w:val="27"/>
          <w:szCs w:val="27"/>
        </w:rPr>
        <w:t>передбачено</w:t>
      </w:r>
      <w:proofErr w:type="spellEnd"/>
      <w:r w:rsidRPr="005115D0">
        <w:rPr>
          <w:rFonts w:ascii="ProbaPro" w:hAnsi="ProbaPro"/>
          <w:color w:val="000000"/>
          <w:sz w:val="27"/>
          <w:szCs w:val="27"/>
        </w:rPr>
        <w:t>:</w:t>
      </w:r>
    </w:p>
    <w:p w:rsidR="00B33C8E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B33C8E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</w:pP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1.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Фіксовані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ціни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електричну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енергію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побутових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споживачів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становлять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з 01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жовтня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2021 року по 31 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травня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2023 року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включно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:</w:t>
      </w:r>
    </w:p>
    <w:p w:rsidR="00B33C8E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590"/>
        <w:gridCol w:w="1740"/>
        <w:gridCol w:w="1456"/>
      </w:tblGrid>
      <w:tr w:rsidR="00B33C8E" w:rsidRPr="0031364E" w:rsidTr="0031364E">
        <w:trPr>
          <w:trHeight w:val="270"/>
        </w:trPr>
        <w:tc>
          <w:tcPr>
            <w:tcW w:w="4785" w:type="dxa"/>
            <w:vMerge w:val="restart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lang w:val="uk-UA"/>
              </w:rPr>
            </w:pPr>
            <w:proofErr w:type="spellStart"/>
            <w:r w:rsidRPr="0031364E">
              <w:rPr>
                <w:rFonts w:ascii="ProbaPro" w:hAnsi="ProbaPro"/>
                <w:color w:val="000000"/>
              </w:rPr>
              <w:t>Місячний</w:t>
            </w:r>
            <w:proofErr w:type="spellEnd"/>
            <w:r w:rsidRPr="0031364E">
              <w:rPr>
                <w:rFonts w:ascii="ProbaPro" w:hAnsi="ProbaPro"/>
                <w:color w:val="000000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</w:rPr>
              <w:t>обсяг</w:t>
            </w:r>
            <w:proofErr w:type="spellEnd"/>
            <w:r w:rsidRPr="0031364E">
              <w:rPr>
                <w:rFonts w:ascii="ProbaPro" w:hAnsi="ProbaPro"/>
                <w:color w:val="000000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</w:rPr>
              <w:t>споживання</w:t>
            </w:r>
            <w:proofErr w:type="spellEnd"/>
          </w:p>
        </w:tc>
        <w:tc>
          <w:tcPr>
            <w:tcW w:w="4786" w:type="dxa"/>
            <w:gridSpan w:val="3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Фіксована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ціна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електричну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енергію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, в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копійках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за 1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кВт·год</w:t>
            </w:r>
            <w:proofErr w:type="spellEnd"/>
          </w:p>
        </w:tc>
      </w:tr>
      <w:tr w:rsidR="00B33C8E" w:rsidRPr="0031364E" w:rsidTr="0031364E">
        <w:trPr>
          <w:trHeight w:val="810"/>
        </w:trPr>
        <w:tc>
          <w:tcPr>
            <w:tcW w:w="4785" w:type="dxa"/>
            <w:vMerge/>
            <w:shd w:val="clear" w:color="auto" w:fill="auto"/>
          </w:tcPr>
          <w:p w:rsidR="00B33C8E" w:rsidRPr="0031364E" w:rsidRDefault="00B33C8E" w:rsidP="003136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без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податку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податок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з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податком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</w:tr>
      <w:tr w:rsidR="00B33C8E" w:rsidRPr="0031364E" w:rsidTr="0031364E">
        <w:trPr>
          <w:trHeight w:val="3240"/>
        </w:trPr>
        <w:tc>
          <w:tcPr>
            <w:tcW w:w="4785" w:type="dxa"/>
            <w:shd w:val="clear" w:color="auto" w:fill="auto"/>
          </w:tcPr>
          <w:p w:rsidR="00B33C8E" w:rsidRPr="0031364E" w:rsidRDefault="00B33C8E" w:rsidP="00D961F9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Для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індивідуальних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побутових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споживачів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:</w:t>
            </w:r>
          </w:p>
          <w:p w:rsidR="00B33C8E" w:rsidRPr="0031364E" w:rsidRDefault="00B33C8E" w:rsidP="0031364E">
            <w:pPr>
              <w:numPr>
                <w:ilvl w:val="0"/>
                <w:numId w:val="21"/>
              </w:num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до 250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кВт·год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включно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, за весь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обсяг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споживання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)</w:t>
            </w:r>
          </w:p>
          <w:p w:rsidR="00D961F9" w:rsidRPr="0031364E" w:rsidRDefault="00D961F9" w:rsidP="0031364E">
            <w:pPr>
              <w:ind w:left="720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</w:p>
          <w:p w:rsidR="00B33C8E" w:rsidRPr="0031364E" w:rsidRDefault="00B33C8E" w:rsidP="00B33C8E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</w:p>
          <w:p w:rsidR="00B33C8E" w:rsidRPr="0031364E" w:rsidRDefault="00B33C8E" w:rsidP="0031364E">
            <w:pPr>
              <w:numPr>
                <w:ilvl w:val="0"/>
                <w:numId w:val="21"/>
              </w:num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понад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250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кВт·год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(за весь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обсяг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споживання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)</w:t>
            </w:r>
          </w:p>
          <w:p w:rsidR="00B33C8E" w:rsidRPr="0031364E" w:rsidRDefault="00B33C8E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1,2</w:t>
            </w: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1,4</w:t>
            </w:r>
          </w:p>
        </w:tc>
        <w:tc>
          <w:tcPr>
            <w:tcW w:w="1740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0,24</w:t>
            </w: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0,28</w:t>
            </w:r>
          </w:p>
        </w:tc>
        <w:tc>
          <w:tcPr>
            <w:tcW w:w="1456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1,44</w:t>
            </w: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1,68</w:t>
            </w:r>
          </w:p>
        </w:tc>
      </w:tr>
      <w:tr w:rsidR="00D961F9" w:rsidRPr="0031364E" w:rsidTr="0031364E">
        <w:trPr>
          <w:trHeight w:val="2895"/>
        </w:trPr>
        <w:tc>
          <w:tcPr>
            <w:tcW w:w="4785" w:type="dxa"/>
            <w:shd w:val="clear" w:color="auto" w:fill="auto"/>
          </w:tcPr>
          <w:p w:rsidR="00D961F9" w:rsidRPr="0031364E" w:rsidRDefault="00D961F9" w:rsidP="00D961F9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Для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колективних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побутових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споживачів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крім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гуртожитків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), а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також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споживачів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цілі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споживання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),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які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визначені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в абзацах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одинадцятому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–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чотирнадцятому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пункту 13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розділу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XVII «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Прикінцеві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перехідні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положення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» Закону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України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«Про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ринок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електричної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енергії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» –</w:t>
            </w:r>
          </w:p>
          <w:p w:rsidR="00D961F9" w:rsidRPr="0031364E" w:rsidRDefault="00D961F9" w:rsidP="00D961F9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</w:p>
          <w:p w:rsidR="00D961F9" w:rsidRPr="0031364E" w:rsidRDefault="00D961F9" w:rsidP="00D961F9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за весь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обсяг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споживання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1,4</w:t>
            </w:r>
          </w:p>
        </w:tc>
        <w:tc>
          <w:tcPr>
            <w:tcW w:w="1740" w:type="dxa"/>
            <w:shd w:val="clear" w:color="auto" w:fill="auto"/>
          </w:tcPr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0,28</w:t>
            </w:r>
          </w:p>
        </w:tc>
        <w:tc>
          <w:tcPr>
            <w:tcW w:w="1456" w:type="dxa"/>
            <w:shd w:val="clear" w:color="auto" w:fill="auto"/>
          </w:tcPr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1,68</w:t>
            </w:r>
          </w:p>
        </w:tc>
      </w:tr>
      <w:tr w:rsidR="00D961F9" w:rsidRPr="0031364E" w:rsidTr="0031364E">
        <w:trPr>
          <w:trHeight w:val="158"/>
        </w:trPr>
        <w:tc>
          <w:tcPr>
            <w:tcW w:w="4785" w:type="dxa"/>
            <w:shd w:val="clear" w:color="auto" w:fill="auto"/>
          </w:tcPr>
          <w:p w:rsidR="00D961F9" w:rsidRPr="0031364E" w:rsidRDefault="00D961F9" w:rsidP="00D961F9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Для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гуртожитків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–</w:t>
            </w:r>
          </w:p>
          <w:p w:rsidR="00D961F9" w:rsidRPr="0031364E" w:rsidRDefault="00D961F9" w:rsidP="00D961F9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за весь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обсяг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споживання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1,4</w:t>
            </w:r>
          </w:p>
        </w:tc>
        <w:tc>
          <w:tcPr>
            <w:tcW w:w="1740" w:type="dxa"/>
            <w:shd w:val="clear" w:color="auto" w:fill="auto"/>
          </w:tcPr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0,28</w:t>
            </w:r>
          </w:p>
        </w:tc>
        <w:tc>
          <w:tcPr>
            <w:tcW w:w="1456" w:type="dxa"/>
            <w:shd w:val="clear" w:color="auto" w:fill="auto"/>
          </w:tcPr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1,68</w:t>
            </w:r>
          </w:p>
        </w:tc>
      </w:tr>
    </w:tbl>
    <w:p w:rsidR="00B33C8E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D961F9" w:rsidRDefault="00D961F9" w:rsidP="00D961F9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b/>
          <w:color w:val="000000"/>
          <w:lang w:eastAsia="ru-RU"/>
        </w:rPr>
      </w:pPr>
      <w:r w:rsidRPr="00D961F9">
        <w:rPr>
          <w:rFonts w:ascii="ProbaPro" w:eastAsia="Times New Roman" w:hAnsi="ProbaPro"/>
          <w:b/>
          <w:color w:val="000000"/>
          <w:lang w:eastAsia="ru-RU"/>
        </w:rPr>
        <w:lastRenderedPageBreak/>
        <w:t xml:space="preserve">2.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Фіксовані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ціни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визначені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пунктом 1,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застосовуються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до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електричної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енергії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що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купується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у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постачальників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універсальних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послуг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та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споживається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>: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індивідуальними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та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колективними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побутовими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споживачами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в тому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числі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– 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гуртожитках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що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розраховуються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за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електричну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енергію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за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загальним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розрахунковим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засобом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обліку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частині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споживання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електричної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енергії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фізичними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особами для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забезпечення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власних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побутових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потреб,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які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не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включають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професійну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та/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або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господарську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діяльність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;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 xml:space="preserve">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багатоквартирних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житлових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будинках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(в тому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числі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гуртожитках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) на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технічні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цілі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(роботу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індивідуальних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теплових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пунктів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котелень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ліфтів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насосів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та замково-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переговорних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пристроїв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що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належать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власникам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квартир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багатоквартирного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будинку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на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праві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спільної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власності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) та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освітлення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дворів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східців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і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номерних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знаків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;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 xml:space="preserve">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дачних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та дачно-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будівельних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кооперативах,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садових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товариствах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, гаражно-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будівельних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кооперативах на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технічні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цілі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(роботу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насосів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) та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освітлення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території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;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юридичними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особами,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які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є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власниками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балансоутримувачами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) майна,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що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використовується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для компактного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поселення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внутрішньо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переміщених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осіб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містечок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із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збірних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модулів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гуртожитків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оздоровчих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таборів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будинків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відпочинку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санаторіїв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пансіонатів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готелів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тощо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), 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частині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задоволення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власних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побутових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потреб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внутрішньо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переміщених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осіб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;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релігійними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організаціями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частині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споживання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електричної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енергії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на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комунально-побутові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потреби.</w:t>
      </w:r>
    </w:p>
    <w:p w:rsidR="00D961F9" w:rsidRPr="00D961F9" w:rsidRDefault="00D961F9" w:rsidP="00D961F9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/>
          <w:b/>
          <w:color w:val="000000"/>
          <w:lang w:eastAsia="ru-RU"/>
        </w:rPr>
      </w:pPr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3. За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наявності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обліку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споживання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електричної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енергії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за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періодами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часу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розрахунки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споживачів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зазначених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у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підпункті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1 пункту 2,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проводяться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за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фіксованою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ціною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на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електричну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енергію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,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визначеною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пунктом 1,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із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застосуванням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таких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коефіцієнтів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(за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вибором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color w:val="000000"/>
          <w:lang w:eastAsia="ru-RU"/>
        </w:rPr>
        <w:t>споживача</w:t>
      </w:r>
      <w:proofErr w:type="spellEnd"/>
      <w:r w:rsidRPr="00D961F9">
        <w:rPr>
          <w:rFonts w:ascii="ProbaPro" w:eastAsia="Times New Roman" w:hAnsi="ProbaPro"/>
          <w:b/>
          <w:color w:val="000000"/>
          <w:lang w:eastAsia="ru-RU"/>
        </w:rPr>
        <w:t>):</w:t>
      </w:r>
    </w:p>
    <w:p w:rsidR="00D961F9" w:rsidRPr="00D961F9" w:rsidRDefault="00D961F9" w:rsidP="00D961F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1) </w:t>
      </w:r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 xml:space="preserve">за </w:t>
      </w:r>
      <w:proofErr w:type="spellStart"/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двозонним</w:t>
      </w:r>
      <w:proofErr w:type="spellEnd"/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диференціюванням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 за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періодами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часу:</w:t>
      </w:r>
    </w:p>
    <w:p w:rsidR="00D961F9" w:rsidRPr="00D961F9" w:rsidRDefault="00D961F9" w:rsidP="00D961F9">
      <w:pPr>
        <w:numPr>
          <w:ilvl w:val="0"/>
          <w:numId w:val="19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 xml:space="preserve">0,5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фіксованої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ціни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нічного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мінімального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навантаження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енергосистеми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(з 23-ї до 7-ї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);</w:t>
      </w:r>
    </w:p>
    <w:p w:rsidR="00D961F9" w:rsidRPr="00D961F9" w:rsidRDefault="00D961F9" w:rsidP="00D961F9">
      <w:pPr>
        <w:numPr>
          <w:ilvl w:val="0"/>
          <w:numId w:val="19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повна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фіксована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ціна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інші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доби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;</w:t>
      </w:r>
    </w:p>
    <w:p w:rsidR="00D961F9" w:rsidRPr="00D961F9" w:rsidRDefault="00D961F9" w:rsidP="00D961F9">
      <w:p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</w:p>
    <w:p w:rsidR="00D961F9" w:rsidRPr="00D961F9" w:rsidRDefault="00D961F9" w:rsidP="00D961F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2) </w:t>
      </w:r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 xml:space="preserve">за </w:t>
      </w:r>
      <w:proofErr w:type="spellStart"/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тризонним</w:t>
      </w:r>
      <w:proofErr w:type="spellEnd"/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диференціюванням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 за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періодами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часу:</w:t>
      </w:r>
    </w:p>
    <w:p w:rsidR="00D961F9" w:rsidRPr="00D961F9" w:rsidRDefault="00D961F9" w:rsidP="00D961F9">
      <w:pPr>
        <w:numPr>
          <w:ilvl w:val="0"/>
          <w:numId w:val="20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 xml:space="preserve">1,5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фіксованої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ціни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максимального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навантаження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енергосистеми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(з 8-ї до 11-ї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і з 20-ї до 22-ї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);</w:t>
      </w:r>
    </w:p>
    <w:p w:rsidR="00D961F9" w:rsidRPr="00D961F9" w:rsidRDefault="00D961F9" w:rsidP="00D961F9">
      <w:pPr>
        <w:numPr>
          <w:ilvl w:val="0"/>
          <w:numId w:val="20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повна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фіксована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ціна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у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напівпіковий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період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(з 7-ї до 8-ї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з 11-ї до 20-ї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, з 22-ї до 23-ї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);</w:t>
      </w:r>
    </w:p>
    <w:p w:rsidR="00D961F9" w:rsidRPr="00D961F9" w:rsidRDefault="00D961F9" w:rsidP="00D961F9">
      <w:pPr>
        <w:numPr>
          <w:ilvl w:val="0"/>
          <w:numId w:val="20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lastRenderedPageBreak/>
        <w:t xml:space="preserve">0,4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фіксованої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ціни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нічного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мінімального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навантаження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енергосистеми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 xml:space="preserve"> (з 23-ї до 7-ї </w:t>
      </w:r>
      <w:proofErr w:type="spellStart"/>
      <w:r w:rsidRPr="00D961F9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D961F9">
        <w:rPr>
          <w:rFonts w:ascii="ProbaPro" w:eastAsia="Times New Roman" w:hAnsi="ProbaPro"/>
          <w:color w:val="000000"/>
          <w:lang w:eastAsia="ru-RU"/>
        </w:rPr>
        <w:t>).</w:t>
      </w:r>
    </w:p>
    <w:p w:rsidR="00D961F9" w:rsidRPr="00D41BFB" w:rsidRDefault="00D961F9" w:rsidP="00D961F9">
      <w:pPr>
        <w:rPr>
          <w:rFonts w:ascii="Times New Roman" w:hAnsi="Times New Roman"/>
          <w:sz w:val="28"/>
          <w:szCs w:val="28"/>
        </w:rPr>
      </w:pPr>
    </w:p>
    <w:p w:rsidR="00D41BFB" w:rsidRPr="00B33C8E" w:rsidRDefault="00D41BFB" w:rsidP="00D961F9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proofErr w:type="spellStart"/>
      <w:r w:rsidRPr="00D41BFB">
        <w:rPr>
          <w:b/>
          <w:bCs/>
          <w:color w:val="1D1D1D"/>
          <w:sz w:val="28"/>
          <w:szCs w:val="28"/>
          <w:shd w:val="clear" w:color="auto" w:fill="FFFFFF"/>
        </w:rPr>
        <w:t>Фіксовані</w:t>
      </w:r>
      <w:proofErr w:type="spellEnd"/>
      <w:r w:rsidRPr="00D41BFB">
        <w:rPr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D41BFB">
        <w:rPr>
          <w:b/>
          <w:bCs/>
          <w:color w:val="1D1D1D"/>
          <w:sz w:val="28"/>
          <w:szCs w:val="28"/>
          <w:shd w:val="clear" w:color="auto" w:fill="FFFFFF"/>
        </w:rPr>
        <w:t>ціни</w:t>
      </w:r>
      <w:proofErr w:type="spellEnd"/>
      <w:r w:rsidRPr="00D41BFB">
        <w:rPr>
          <w:b/>
          <w:bCs/>
          <w:color w:val="1D1D1D"/>
          <w:sz w:val="28"/>
          <w:szCs w:val="28"/>
          <w:shd w:val="clear" w:color="auto" w:fill="FFFFFF"/>
        </w:rPr>
        <w:t xml:space="preserve"> на </w:t>
      </w:r>
      <w:proofErr w:type="spellStart"/>
      <w:r w:rsidRPr="00D41BFB">
        <w:rPr>
          <w:b/>
          <w:bCs/>
          <w:color w:val="1D1D1D"/>
          <w:sz w:val="28"/>
          <w:szCs w:val="28"/>
          <w:shd w:val="clear" w:color="auto" w:fill="FFFFFF"/>
        </w:rPr>
        <w:t>електричну</w:t>
      </w:r>
      <w:proofErr w:type="spellEnd"/>
      <w:r w:rsidRPr="00D41BFB">
        <w:rPr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D41BFB">
        <w:rPr>
          <w:b/>
          <w:bCs/>
          <w:color w:val="1D1D1D"/>
          <w:sz w:val="28"/>
          <w:szCs w:val="28"/>
          <w:shd w:val="clear" w:color="auto" w:fill="FFFFFF"/>
        </w:rPr>
        <w:t>енергію</w:t>
      </w:r>
      <w:proofErr w:type="spellEnd"/>
      <w:r w:rsidRPr="00D41BFB">
        <w:rPr>
          <w:b/>
          <w:bCs/>
          <w:color w:val="1D1D1D"/>
          <w:sz w:val="28"/>
          <w:szCs w:val="28"/>
          <w:shd w:val="clear" w:color="auto" w:fill="FFFFFF"/>
        </w:rPr>
        <w:t xml:space="preserve"> для </w:t>
      </w:r>
      <w:proofErr w:type="spellStart"/>
      <w:r w:rsidRPr="00D41BFB">
        <w:rPr>
          <w:b/>
          <w:bCs/>
          <w:color w:val="1D1D1D"/>
          <w:sz w:val="28"/>
          <w:szCs w:val="28"/>
          <w:shd w:val="clear" w:color="auto" w:fill="FFFFFF"/>
        </w:rPr>
        <w:t>побутових</w:t>
      </w:r>
      <w:proofErr w:type="spellEnd"/>
      <w:r w:rsidRPr="00D41BFB">
        <w:rPr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D41BFB">
        <w:rPr>
          <w:b/>
          <w:bCs/>
          <w:color w:val="1D1D1D"/>
          <w:sz w:val="28"/>
          <w:szCs w:val="28"/>
          <w:shd w:val="clear" w:color="auto" w:fill="FFFFFF"/>
        </w:rPr>
        <w:t>споживачів</w:t>
      </w:r>
      <w:proofErr w:type="spellEnd"/>
      <w:r w:rsidRPr="00D41BFB">
        <w:rPr>
          <w:b/>
          <w:bCs/>
          <w:color w:val="1D1D1D"/>
          <w:sz w:val="28"/>
          <w:szCs w:val="28"/>
          <w:shd w:val="clear" w:color="auto" w:fill="FFFFFF"/>
        </w:rPr>
        <w:t xml:space="preserve"> з 01.01.2021</w:t>
      </w:r>
      <w:r w:rsidR="00B33C8E">
        <w:rPr>
          <w:b/>
          <w:bCs/>
          <w:color w:val="1D1D1D"/>
          <w:sz w:val="28"/>
          <w:szCs w:val="28"/>
          <w:shd w:val="clear" w:color="auto" w:fill="FFFFFF"/>
          <w:lang w:val="uk-UA"/>
        </w:rPr>
        <w:t xml:space="preserve"> до 30.09.2021 року</w:t>
      </w:r>
    </w:p>
    <w:p w:rsidR="00D41BFB" w:rsidRDefault="00D41BFB" w:rsidP="00D41BF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proofErr w:type="spellStart"/>
      <w:r>
        <w:rPr>
          <w:rFonts w:ascii="ProbaPro" w:hAnsi="ProbaPro"/>
          <w:color w:val="000000"/>
          <w:sz w:val="27"/>
          <w:szCs w:val="27"/>
        </w:rPr>
        <w:t>Положенням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про </w:t>
      </w:r>
      <w:proofErr w:type="spellStart"/>
      <w:r>
        <w:rPr>
          <w:rFonts w:ascii="ProbaPro" w:hAnsi="ProbaPro"/>
          <w:color w:val="000000"/>
          <w:sz w:val="27"/>
          <w:szCs w:val="27"/>
        </w:rPr>
        <w:t>покладення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спеціальних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обов’язків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на </w:t>
      </w:r>
      <w:proofErr w:type="spellStart"/>
      <w:r>
        <w:rPr>
          <w:rFonts w:ascii="ProbaPro" w:hAnsi="ProbaPro"/>
          <w:color w:val="000000"/>
          <w:sz w:val="27"/>
          <w:szCs w:val="27"/>
        </w:rPr>
        <w:t>учасників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ринку </w:t>
      </w:r>
      <w:proofErr w:type="spellStart"/>
      <w:r>
        <w:rPr>
          <w:rFonts w:ascii="ProbaPro" w:hAnsi="ProbaPro"/>
          <w:color w:val="000000"/>
          <w:sz w:val="27"/>
          <w:szCs w:val="27"/>
        </w:rPr>
        <w:t>електричної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енергії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для </w:t>
      </w:r>
      <w:proofErr w:type="spellStart"/>
      <w:r>
        <w:rPr>
          <w:rFonts w:ascii="ProbaPro" w:hAnsi="ProbaPro"/>
          <w:color w:val="000000"/>
          <w:sz w:val="27"/>
          <w:szCs w:val="27"/>
        </w:rPr>
        <w:t>забезпечення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загальносуспільних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інтересів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у </w:t>
      </w:r>
      <w:proofErr w:type="spellStart"/>
      <w:r>
        <w:rPr>
          <w:rFonts w:ascii="ProbaPro" w:hAnsi="ProbaPro"/>
          <w:color w:val="000000"/>
          <w:sz w:val="27"/>
          <w:szCs w:val="27"/>
        </w:rPr>
        <w:t>процесі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функціонування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ринку </w:t>
      </w:r>
      <w:proofErr w:type="spellStart"/>
      <w:r>
        <w:rPr>
          <w:rFonts w:ascii="ProbaPro" w:hAnsi="ProbaPro"/>
          <w:color w:val="000000"/>
          <w:sz w:val="27"/>
          <w:szCs w:val="27"/>
        </w:rPr>
        <w:t>електричної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енергії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затвердженим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постановою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Кабінету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Міністрів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від</w:t>
      </w:r>
      <w:proofErr w:type="spellEnd"/>
      <w:r>
        <w:rPr>
          <w:rFonts w:ascii="ProbaPro" w:hAnsi="ProbaPro"/>
          <w:color w:val="000000"/>
          <w:sz w:val="27"/>
          <w:szCs w:val="27"/>
        </w:rPr>
        <w:t> </w:t>
      </w:r>
      <w:hyperlink r:id="rId9" w:anchor="Text" w:tgtFrame="_blank" w:history="1">
        <w:r>
          <w:rPr>
            <w:rStyle w:val="ab"/>
            <w:rFonts w:ascii="ProbaPro" w:hAnsi="ProbaPro"/>
            <w:color w:val="004BC1"/>
            <w:sz w:val="27"/>
            <w:szCs w:val="27"/>
            <w:bdr w:val="none" w:sz="0" w:space="0" w:color="auto" w:frame="1"/>
          </w:rPr>
          <w:t>05.06.2019 № 483</w:t>
        </w:r>
      </w:hyperlink>
      <w:r>
        <w:rPr>
          <w:rFonts w:ascii="ProbaPro" w:hAnsi="ProbaPro"/>
          <w:color w:val="000000"/>
          <w:sz w:val="27"/>
          <w:szCs w:val="27"/>
        </w:rPr>
        <w:t> (</w:t>
      </w:r>
      <w:proofErr w:type="spellStart"/>
      <w:r>
        <w:rPr>
          <w:rFonts w:ascii="ProbaPro" w:hAnsi="ProbaPro"/>
          <w:color w:val="000000"/>
          <w:sz w:val="27"/>
          <w:szCs w:val="27"/>
        </w:rPr>
        <w:t>із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змінами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color w:val="000000"/>
          <w:sz w:val="27"/>
          <w:szCs w:val="27"/>
        </w:rPr>
        <w:t>внесеними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постановою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Кабінету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Міністрів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України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</w:rPr>
        <w:t>від</w:t>
      </w:r>
      <w:proofErr w:type="spellEnd"/>
      <w:r>
        <w:rPr>
          <w:rFonts w:ascii="ProbaPro" w:hAnsi="ProbaPro"/>
          <w:color w:val="000000"/>
          <w:sz w:val="27"/>
          <w:szCs w:val="27"/>
        </w:rPr>
        <w:t> </w:t>
      </w:r>
      <w:hyperlink r:id="rId10" w:anchor="n2" w:tgtFrame="_blank" w:history="1">
        <w:r>
          <w:rPr>
            <w:rStyle w:val="ab"/>
            <w:rFonts w:ascii="ProbaPro" w:hAnsi="ProbaPro"/>
            <w:color w:val="004BC1"/>
            <w:sz w:val="27"/>
            <w:szCs w:val="27"/>
            <w:bdr w:val="none" w:sz="0" w:space="0" w:color="auto" w:frame="1"/>
          </w:rPr>
          <w:t>11.08.2021 № 859</w:t>
        </w:r>
      </w:hyperlink>
      <w:r>
        <w:rPr>
          <w:rFonts w:ascii="ProbaPro" w:hAnsi="ProbaPro"/>
          <w:color w:val="000000"/>
          <w:sz w:val="27"/>
          <w:szCs w:val="27"/>
        </w:rPr>
        <w:t xml:space="preserve">), </w:t>
      </w:r>
      <w:proofErr w:type="spellStart"/>
      <w:r>
        <w:rPr>
          <w:rFonts w:ascii="ProbaPro" w:hAnsi="ProbaPro"/>
          <w:color w:val="000000"/>
          <w:sz w:val="27"/>
          <w:szCs w:val="27"/>
        </w:rPr>
        <w:t>передбачено</w:t>
      </w:r>
      <w:proofErr w:type="spellEnd"/>
      <w:r>
        <w:rPr>
          <w:rFonts w:ascii="ProbaPro" w:hAnsi="ProbaPro"/>
          <w:color w:val="000000"/>
          <w:sz w:val="27"/>
          <w:szCs w:val="27"/>
        </w:rPr>
        <w:t>:</w:t>
      </w:r>
    </w:p>
    <w:p w:rsidR="00B33C8E" w:rsidRDefault="00B33C8E" w:rsidP="00D41BF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D41BFB" w:rsidRDefault="00D41BFB" w:rsidP="00D41BF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1.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Фіксована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ціна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електричну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енергію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побутових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споживачів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 xml:space="preserve"> становить: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590"/>
        <w:gridCol w:w="1740"/>
        <w:gridCol w:w="1456"/>
      </w:tblGrid>
      <w:tr w:rsidR="00D41BFB" w:rsidRPr="0031364E" w:rsidTr="0031364E">
        <w:trPr>
          <w:trHeight w:val="270"/>
        </w:trPr>
        <w:tc>
          <w:tcPr>
            <w:tcW w:w="4785" w:type="dxa"/>
            <w:vMerge w:val="restart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lang w:val="uk-UA"/>
              </w:rPr>
            </w:pPr>
            <w:r w:rsidRPr="0031364E">
              <w:rPr>
                <w:rFonts w:ascii="ProbaPro" w:hAnsi="ProbaPro"/>
                <w:lang w:val="uk-UA"/>
              </w:rPr>
              <w:t>Період застосування</w:t>
            </w:r>
          </w:p>
        </w:tc>
        <w:tc>
          <w:tcPr>
            <w:tcW w:w="4786" w:type="dxa"/>
            <w:gridSpan w:val="3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Фіксована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ціна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електричну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енергію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, в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копійках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за 1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кВт·год</w:t>
            </w:r>
            <w:proofErr w:type="spellEnd"/>
          </w:p>
        </w:tc>
      </w:tr>
      <w:tr w:rsidR="00D41BFB" w:rsidRPr="0031364E" w:rsidTr="0031364E">
        <w:trPr>
          <w:trHeight w:val="810"/>
        </w:trPr>
        <w:tc>
          <w:tcPr>
            <w:tcW w:w="4785" w:type="dxa"/>
            <w:vMerge/>
            <w:shd w:val="clear" w:color="auto" w:fill="auto"/>
          </w:tcPr>
          <w:p w:rsidR="00D41BFB" w:rsidRPr="0031364E" w:rsidRDefault="00D41BFB" w:rsidP="00A378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без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податку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податок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з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податком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</w:tr>
      <w:tr w:rsidR="00B33C8E" w:rsidRPr="0031364E" w:rsidTr="0031364E">
        <w:trPr>
          <w:trHeight w:val="180"/>
        </w:trPr>
        <w:tc>
          <w:tcPr>
            <w:tcW w:w="4785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З 1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січня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до 30 вересня 2021 року</w:t>
            </w:r>
          </w:p>
        </w:tc>
        <w:tc>
          <w:tcPr>
            <w:tcW w:w="1590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740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456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</w:tbl>
    <w:p w:rsidR="00620B57" w:rsidRDefault="00620B57" w:rsidP="00A3783C">
      <w:pPr>
        <w:rPr>
          <w:rFonts w:ascii="Times New Roman" w:hAnsi="Times New Roman"/>
          <w:sz w:val="28"/>
          <w:szCs w:val="28"/>
        </w:rPr>
      </w:pPr>
    </w:p>
    <w:p w:rsidR="00B33C8E" w:rsidRPr="0031364E" w:rsidRDefault="00B33C8E" w:rsidP="00B33C8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2.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Фіксована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ціна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визначена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пунктом 1,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застосовується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до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електричної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енергії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що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купується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у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постачальників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універсальних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послуг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та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споживається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: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індивідуальними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та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колективними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побутовими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споживачами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в тому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числі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– 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гуртожитках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що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розраховуються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за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електричну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енергію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за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загальним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розрахунковим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засобом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обліку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частині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споживання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електричної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енергії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фізичними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особами для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забезпечення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власних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побутових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потреб,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які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не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включають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професійну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та/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або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господарську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діяльність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;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 xml:space="preserve">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багатоквартирних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житлових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будинках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(в тому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числі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гуртожитках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) на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технічні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цілі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(роботу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індивідуальних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теплових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пунктів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котелень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ліфтів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насосів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та замково-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переговорних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пристроїв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що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належать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власникам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квартир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багатоквартирного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будинку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на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праві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спільної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власності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) та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освітлення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дворів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східців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і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номерних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знаків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;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 xml:space="preserve">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дачних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та дачно-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будівельних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кооперативах,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садових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товариствах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, гаражно-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будівельних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кооперативах на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технічні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цілі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(роботу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насосів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) та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освітлення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території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;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юридичними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особами,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які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є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власниками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балансоутримувачами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) майна,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що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використовується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для компактного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поселення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внутрішньо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переміщених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осіб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містечок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із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збірних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модулів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гуртожитків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оздоровчих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таборів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будинків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відпочинку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санаторіїв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пансіонатів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готелів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тощо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), 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частині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задоволення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власних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побутових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потреб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внутрішньо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переміщених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осіб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;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lastRenderedPageBreak/>
        <w:t>релігійними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організаціями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частині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споживання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електричної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енергії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на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комунально-побутові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потреби.</w:t>
      </w:r>
    </w:p>
    <w:p w:rsidR="00B33C8E" w:rsidRPr="0031364E" w:rsidRDefault="00B33C8E" w:rsidP="00B33C8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/>
          <w:b/>
          <w:color w:val="000000"/>
          <w:lang w:eastAsia="ru-RU"/>
        </w:rPr>
      </w:pPr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3. За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наявності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обліку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споживання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електричної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енергії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за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періодами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часу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розрахунки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споживачів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зазначених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у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підпункті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1 пункту 2,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проводяться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за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фіксованою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ціною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на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електричну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енергію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,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визначеною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пунктом 1,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із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застосуванням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таких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коефіцієнтів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(за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вибором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color w:val="000000"/>
          <w:lang w:eastAsia="ru-RU"/>
        </w:rPr>
        <w:t>споживача</w:t>
      </w:r>
      <w:proofErr w:type="spellEnd"/>
      <w:r w:rsidRPr="0031364E">
        <w:rPr>
          <w:rFonts w:ascii="ProbaPro" w:eastAsia="Times New Roman" w:hAnsi="ProbaPro"/>
          <w:b/>
          <w:color w:val="000000"/>
          <w:lang w:eastAsia="ru-RU"/>
        </w:rPr>
        <w:t>):</w:t>
      </w:r>
    </w:p>
    <w:p w:rsidR="00B33C8E" w:rsidRPr="0031364E" w:rsidRDefault="00B33C8E" w:rsidP="00B33C8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1) </w:t>
      </w:r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 xml:space="preserve">за </w:t>
      </w:r>
      <w:proofErr w:type="spellStart"/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двозонним</w:t>
      </w:r>
      <w:proofErr w:type="spellEnd"/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диференціюванням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 за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періодами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часу:</w:t>
      </w:r>
    </w:p>
    <w:p w:rsidR="00B33C8E" w:rsidRPr="0031364E" w:rsidRDefault="00B33C8E" w:rsidP="00B33C8E">
      <w:pPr>
        <w:numPr>
          <w:ilvl w:val="0"/>
          <w:numId w:val="19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 xml:space="preserve">0,5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фіксованої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ціни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нічного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мінімального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навантаження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енергосистеми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(з 23-ї до 7-ї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);</w:t>
      </w:r>
    </w:p>
    <w:p w:rsidR="00B33C8E" w:rsidRPr="0031364E" w:rsidRDefault="00B33C8E" w:rsidP="00B33C8E">
      <w:pPr>
        <w:numPr>
          <w:ilvl w:val="0"/>
          <w:numId w:val="19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повна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фіксована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ціна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інші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доби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;</w:t>
      </w:r>
    </w:p>
    <w:p w:rsidR="00B33C8E" w:rsidRPr="0031364E" w:rsidRDefault="00B33C8E" w:rsidP="00B33C8E">
      <w:p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</w:p>
    <w:p w:rsidR="00B33C8E" w:rsidRPr="0031364E" w:rsidRDefault="00B33C8E" w:rsidP="00B33C8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2) </w:t>
      </w:r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 xml:space="preserve">за </w:t>
      </w:r>
      <w:proofErr w:type="spellStart"/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тризонним</w:t>
      </w:r>
      <w:proofErr w:type="spellEnd"/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диференціюванням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 за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періодами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часу:</w:t>
      </w:r>
    </w:p>
    <w:p w:rsidR="00B33C8E" w:rsidRPr="0031364E" w:rsidRDefault="00B33C8E" w:rsidP="00B33C8E">
      <w:pPr>
        <w:numPr>
          <w:ilvl w:val="0"/>
          <w:numId w:val="20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 xml:space="preserve">1,5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фіксованої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ціни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максимального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навантаження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енергосистеми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(з 8-ї до 11-ї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і з 20-ї до 22-ї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);</w:t>
      </w:r>
    </w:p>
    <w:p w:rsidR="00B33C8E" w:rsidRPr="0031364E" w:rsidRDefault="00B33C8E" w:rsidP="00B33C8E">
      <w:pPr>
        <w:numPr>
          <w:ilvl w:val="0"/>
          <w:numId w:val="20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повна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фіксована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ціна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у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напівпіковий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період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(з 7-ї до 8-ї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з 11-ї до 20-ї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, з 22-ї до 23-ї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);</w:t>
      </w:r>
    </w:p>
    <w:p w:rsidR="00B33C8E" w:rsidRPr="0031364E" w:rsidRDefault="00B33C8E" w:rsidP="00B33C8E">
      <w:pPr>
        <w:numPr>
          <w:ilvl w:val="0"/>
          <w:numId w:val="20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 xml:space="preserve">0,4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фіксованої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ціни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в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нічного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мінімального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навантаження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енергосистеми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 xml:space="preserve"> (з 23-ї до 7-ї </w:t>
      </w:r>
      <w:proofErr w:type="spellStart"/>
      <w:r w:rsidRPr="0031364E">
        <w:rPr>
          <w:rFonts w:ascii="ProbaPro" w:eastAsia="Times New Roman" w:hAnsi="ProbaPro"/>
          <w:color w:val="000000"/>
          <w:lang w:eastAsia="ru-RU"/>
        </w:rPr>
        <w:t>години</w:t>
      </w:r>
      <w:proofErr w:type="spellEnd"/>
      <w:r w:rsidRPr="0031364E">
        <w:rPr>
          <w:rFonts w:ascii="ProbaPro" w:eastAsia="Times New Roman" w:hAnsi="ProbaPro"/>
          <w:color w:val="000000"/>
          <w:lang w:eastAsia="ru-RU"/>
        </w:rPr>
        <w:t>).</w:t>
      </w:r>
    </w:p>
    <w:p w:rsidR="00B33C8E" w:rsidRPr="00D41BFB" w:rsidRDefault="00B33C8E" w:rsidP="00A3783C">
      <w:pPr>
        <w:rPr>
          <w:rFonts w:ascii="Times New Roman" w:hAnsi="Times New Roman"/>
          <w:sz w:val="28"/>
          <w:szCs w:val="28"/>
        </w:rPr>
      </w:pPr>
    </w:p>
    <w:p w:rsidR="00202FB5" w:rsidRPr="00B33C8E" w:rsidRDefault="00620B57" w:rsidP="00620B57">
      <w:pPr>
        <w:jc w:val="center"/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</w:pPr>
      <w:r w:rsidRPr="00620B57">
        <w:rPr>
          <w:rFonts w:ascii="Times New Roman" w:hAnsi="Times New Roman"/>
          <w:sz w:val="28"/>
          <w:szCs w:val="28"/>
        </w:rPr>
        <w:br w:type="page"/>
      </w:r>
      <w:proofErr w:type="spellStart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lastRenderedPageBreak/>
        <w:t>Фіксовані</w:t>
      </w:r>
      <w:proofErr w:type="spellEnd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ціни</w:t>
      </w:r>
      <w:proofErr w:type="spellEnd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на </w:t>
      </w:r>
      <w:proofErr w:type="spellStart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електричну</w:t>
      </w:r>
      <w:proofErr w:type="spellEnd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енергію</w:t>
      </w:r>
      <w:proofErr w:type="spellEnd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для </w:t>
      </w:r>
      <w:proofErr w:type="spellStart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побутових</w:t>
      </w:r>
      <w:proofErr w:type="spellEnd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споживачів</w:t>
      </w:r>
      <w:proofErr w:type="spellEnd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 xml:space="preserve"> (</w:t>
      </w:r>
      <w:proofErr w:type="spellStart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населення</w:t>
      </w:r>
      <w:proofErr w:type="spellEnd"/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t>) з 01.07.2019</w:t>
      </w:r>
      <w:r w:rsid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  <w:t xml:space="preserve"> до 01.01.2021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85"/>
        <w:gridCol w:w="1875"/>
        <w:gridCol w:w="1426"/>
      </w:tblGrid>
      <w:tr w:rsidR="00620B57" w:rsidRPr="0031364E" w:rsidTr="0031364E">
        <w:trPr>
          <w:trHeight w:val="270"/>
        </w:trPr>
        <w:tc>
          <w:tcPr>
            <w:tcW w:w="4785" w:type="dxa"/>
            <w:vMerge w:val="restart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Категорії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споживачів</w:t>
            </w:r>
            <w:proofErr w:type="spellEnd"/>
          </w:p>
        </w:tc>
        <w:tc>
          <w:tcPr>
            <w:tcW w:w="4786" w:type="dxa"/>
            <w:gridSpan w:val="3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Тарифи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електроенергію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, в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копійках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, за 1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кВт·год</w:t>
            </w:r>
            <w:proofErr w:type="spellEnd"/>
          </w:p>
        </w:tc>
      </w:tr>
      <w:tr w:rsidR="00620B57" w:rsidRPr="0031364E" w:rsidTr="0031364E">
        <w:trPr>
          <w:trHeight w:val="765"/>
        </w:trPr>
        <w:tc>
          <w:tcPr>
            <w:tcW w:w="4785" w:type="dxa"/>
            <w:vMerge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без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податку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податок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з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податком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додану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вартість</w:t>
            </w:r>
            <w:proofErr w:type="spellEnd"/>
          </w:p>
        </w:tc>
      </w:tr>
      <w:tr w:rsidR="00620B57" w:rsidRPr="0031364E" w:rsidTr="0031364E">
        <w:trPr>
          <w:trHeight w:val="270"/>
        </w:trPr>
        <w:tc>
          <w:tcPr>
            <w:tcW w:w="47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1364E">
              <w:rPr>
                <w:rFonts w:ascii="ProbaPro" w:hAnsi="ProbaPro"/>
                <w:i/>
                <w:color w:val="000000"/>
                <w:shd w:val="clear" w:color="auto" w:fill="FFFFFF"/>
              </w:rPr>
              <w:t xml:space="preserve">1. </w:t>
            </w:r>
            <w:proofErr w:type="spellStart"/>
            <w:r w:rsidRPr="0031364E">
              <w:rPr>
                <w:rFonts w:ascii="ProbaPro" w:hAnsi="ProbaPro"/>
                <w:i/>
                <w:color w:val="000000"/>
                <w:shd w:val="clear" w:color="auto" w:fill="FFFFFF"/>
              </w:rPr>
              <w:t>Електроенергія</w:t>
            </w:r>
            <w:proofErr w:type="spellEnd"/>
            <w:r w:rsidRPr="0031364E">
              <w:rPr>
                <w:rFonts w:ascii="ProbaPro" w:hAnsi="ProbaPro"/>
                <w:i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1364E">
              <w:rPr>
                <w:rFonts w:ascii="ProbaPro" w:hAnsi="ProbaPro"/>
                <w:i/>
                <w:color w:val="000000"/>
                <w:shd w:val="clear" w:color="auto" w:fill="FFFFFF"/>
              </w:rPr>
              <w:t>що</w:t>
            </w:r>
            <w:proofErr w:type="spellEnd"/>
            <w:r w:rsidRPr="0031364E">
              <w:rPr>
                <w:rFonts w:ascii="ProbaPro" w:hAnsi="ProbaPro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i/>
                <w:color w:val="000000"/>
                <w:shd w:val="clear" w:color="auto" w:fill="FFFFFF"/>
              </w:rPr>
              <w:t>відпускається</w:t>
            </w:r>
            <w:proofErr w:type="spellEnd"/>
            <w:r w:rsidRPr="0031364E">
              <w:rPr>
                <w:rFonts w:ascii="ProbaPro" w:hAnsi="ProbaPro"/>
                <w:i/>
                <w:color w:val="000000"/>
                <w:shd w:val="clear" w:color="auto" w:fill="FFFFFF"/>
              </w:rPr>
              <w:t>:</w:t>
            </w:r>
          </w:p>
        </w:tc>
        <w:tc>
          <w:tcPr>
            <w:tcW w:w="14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</w:tr>
      <w:tr w:rsidR="00620B57" w:rsidRPr="0031364E" w:rsidTr="0031364E">
        <w:trPr>
          <w:trHeight w:val="285"/>
        </w:trPr>
        <w:tc>
          <w:tcPr>
            <w:tcW w:w="47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1.1.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Населенню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(у тому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числі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яке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проживає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житлових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будинках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обладнаних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кухонними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електроплитами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) (у тому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числі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сільській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місцевості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):</w:t>
            </w:r>
          </w:p>
        </w:tc>
        <w:tc>
          <w:tcPr>
            <w:tcW w:w="14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</w:tr>
      <w:tr w:rsidR="00620B57" w:rsidRPr="0031364E" w:rsidTr="0031364E">
        <w:trPr>
          <w:trHeight w:val="2265"/>
        </w:trPr>
        <w:tc>
          <w:tcPr>
            <w:tcW w:w="4785" w:type="dxa"/>
            <w:shd w:val="clear" w:color="auto" w:fill="auto"/>
          </w:tcPr>
          <w:p w:rsidR="00620B57" w:rsidRPr="0031364E" w:rsidRDefault="00620B57" w:rsidP="00620B57">
            <w:pPr>
              <w:rPr>
                <w:rFonts w:ascii="ProbaPro" w:hAnsi="ProbaPro"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за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обсяг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спожитий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до 100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кВт∙год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електроенергії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місяць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включно</w:t>
            </w:r>
            <w:proofErr w:type="spellEnd"/>
          </w:p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0B57" w:rsidRPr="0031364E" w:rsidRDefault="00620B57" w:rsidP="0031364E">
            <w:pPr>
              <w:shd w:val="clear" w:color="auto" w:fill="FFFFFF"/>
              <w:spacing w:before="100" w:beforeAutospacing="1" w:after="0" w:line="360" w:lineRule="atLeast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спожитий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понад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кВт∙год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електроенергії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місяць</w:t>
            </w:r>
            <w:proofErr w:type="spellEnd"/>
          </w:p>
          <w:p w:rsidR="00620B57" w:rsidRPr="0031364E" w:rsidRDefault="00620B57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75</w:t>
            </w: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87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426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  <w:tr w:rsidR="00620B57" w:rsidRPr="0031364E" w:rsidTr="0031364E">
        <w:trPr>
          <w:trHeight w:val="1935"/>
        </w:trPr>
        <w:tc>
          <w:tcPr>
            <w:tcW w:w="47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b/>
                <w:color w:val="212529"/>
                <w:shd w:val="clear" w:color="auto" w:fill="FFFFFF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1.2.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Населенню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, яке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проживає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житлових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будинках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(у тому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числі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житлових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будинках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готельного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типу, квартирах та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гуртожитках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),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обладнаних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встановленому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порядку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електроопалювальними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установками (у тому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числі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сільській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місцевості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):</w:t>
            </w:r>
          </w:p>
        </w:tc>
        <w:tc>
          <w:tcPr>
            <w:tcW w:w="14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426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620B57" w:rsidRPr="0031364E" w:rsidTr="0031364E">
        <w:trPr>
          <w:trHeight w:val="570"/>
        </w:trPr>
        <w:tc>
          <w:tcPr>
            <w:tcW w:w="47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1.2.1. У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період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з 01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травня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по 30 вересня (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включно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відповідно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до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підпункту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1.1</w:t>
            </w:r>
          </w:p>
        </w:tc>
        <w:tc>
          <w:tcPr>
            <w:tcW w:w="14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426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620B57" w:rsidRPr="0031364E" w:rsidTr="0031364E">
        <w:trPr>
          <w:trHeight w:val="540"/>
        </w:trPr>
        <w:tc>
          <w:tcPr>
            <w:tcW w:w="47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1.2.2. У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період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з 01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жовтня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по 30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квітня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включно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):</w:t>
            </w:r>
          </w:p>
        </w:tc>
        <w:tc>
          <w:tcPr>
            <w:tcW w:w="14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87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426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620B57" w:rsidRPr="0031364E" w:rsidTr="0031364E">
        <w:trPr>
          <w:trHeight w:val="2580"/>
        </w:trPr>
        <w:tc>
          <w:tcPr>
            <w:tcW w:w="4785" w:type="dxa"/>
            <w:shd w:val="clear" w:color="auto" w:fill="auto"/>
          </w:tcPr>
          <w:p w:rsidR="00620B57" w:rsidRPr="0031364E" w:rsidRDefault="00620B57" w:rsidP="0031364E">
            <w:pPr>
              <w:shd w:val="clear" w:color="auto" w:fill="FFFFFF"/>
              <w:spacing w:before="100" w:beforeAutospacing="1" w:after="0" w:line="360" w:lineRule="atLeast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спожитий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до 3000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кВт∙год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електроенергії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місяць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включно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)</w:t>
            </w:r>
          </w:p>
          <w:p w:rsidR="00620B57" w:rsidRPr="0031364E" w:rsidRDefault="00620B57" w:rsidP="0031364E">
            <w:pPr>
              <w:shd w:val="clear" w:color="auto" w:fill="FFFFFF"/>
              <w:spacing w:before="100" w:beforeAutospacing="1" w:after="0" w:line="360" w:lineRule="atLeast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</w:p>
          <w:p w:rsidR="00620B57" w:rsidRPr="0031364E" w:rsidRDefault="00620B57" w:rsidP="0031364E">
            <w:pPr>
              <w:shd w:val="clear" w:color="auto" w:fill="FFFFFF"/>
              <w:spacing w:before="100" w:beforeAutospacing="1" w:after="0" w:line="360" w:lineRule="atLeast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спожитий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понад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3000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кВт∙год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електроенергії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місяць</w:t>
            </w:r>
            <w:proofErr w:type="spellEnd"/>
          </w:p>
          <w:p w:rsidR="00620B57" w:rsidRPr="0031364E" w:rsidRDefault="00620B57" w:rsidP="00620B57">
            <w:pPr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48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75</w:t>
            </w: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875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426" w:type="dxa"/>
            <w:shd w:val="clear" w:color="auto" w:fill="auto"/>
          </w:tcPr>
          <w:p w:rsidR="00620B57" w:rsidRPr="0031364E" w:rsidRDefault="00620B57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  <w:tr w:rsidR="00D41BFB" w:rsidRPr="0031364E" w:rsidTr="0031364E">
        <w:trPr>
          <w:trHeight w:val="600"/>
        </w:trPr>
        <w:tc>
          <w:tcPr>
            <w:tcW w:w="4785" w:type="dxa"/>
            <w:shd w:val="clear" w:color="auto" w:fill="auto"/>
          </w:tcPr>
          <w:p w:rsidR="00D41BFB" w:rsidRPr="0031364E" w:rsidRDefault="00D41BFB" w:rsidP="00620B57">
            <w:pPr>
              <w:rPr>
                <w:rFonts w:ascii="ProbaPro" w:eastAsia="Times New Roman" w:hAnsi="ProbaPro"/>
                <w:b/>
                <w:color w:val="212529"/>
                <w:sz w:val="24"/>
                <w:szCs w:val="24"/>
                <w:lang w:eastAsia="ru-RU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1.3.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Населенню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, яке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проживає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багатоквартирних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будинках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, не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газифікованих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природним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газом і в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яких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відсутні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або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не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функціонують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системи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lastRenderedPageBreak/>
              <w:t>централізованого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теплопостачання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(у тому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числі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сільській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місцевості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):</w:t>
            </w:r>
          </w:p>
        </w:tc>
        <w:tc>
          <w:tcPr>
            <w:tcW w:w="148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42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D41BFB" w:rsidRPr="0031364E" w:rsidTr="0031364E">
        <w:trPr>
          <w:trHeight w:val="645"/>
        </w:trPr>
        <w:tc>
          <w:tcPr>
            <w:tcW w:w="4785" w:type="dxa"/>
            <w:shd w:val="clear" w:color="auto" w:fill="auto"/>
          </w:tcPr>
          <w:p w:rsidR="00D41BFB" w:rsidRPr="0031364E" w:rsidRDefault="00D41BFB" w:rsidP="00620B57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1.3.1. У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період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з 01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травня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по 30 вересня (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включно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відповідно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до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підпункту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1.1</w:t>
            </w:r>
          </w:p>
        </w:tc>
        <w:tc>
          <w:tcPr>
            <w:tcW w:w="148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42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D41BFB" w:rsidRPr="0031364E" w:rsidTr="0031364E">
        <w:trPr>
          <w:trHeight w:val="285"/>
        </w:trPr>
        <w:tc>
          <w:tcPr>
            <w:tcW w:w="4785" w:type="dxa"/>
            <w:shd w:val="clear" w:color="auto" w:fill="auto"/>
          </w:tcPr>
          <w:p w:rsidR="00D41BFB" w:rsidRPr="0031364E" w:rsidRDefault="00D41BFB" w:rsidP="00620B57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1.3.2. У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період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з 01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жовтня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по 30 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квітня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включно</w:t>
            </w:r>
            <w:proofErr w:type="spellEnd"/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):</w:t>
            </w:r>
          </w:p>
        </w:tc>
        <w:tc>
          <w:tcPr>
            <w:tcW w:w="148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42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D41BFB" w:rsidRPr="0031364E" w:rsidTr="0031364E">
        <w:trPr>
          <w:trHeight w:val="2595"/>
        </w:trPr>
        <w:tc>
          <w:tcPr>
            <w:tcW w:w="4785" w:type="dxa"/>
            <w:shd w:val="clear" w:color="auto" w:fill="auto"/>
          </w:tcPr>
          <w:p w:rsidR="00D41BFB" w:rsidRPr="0031364E" w:rsidRDefault="00D41BFB" w:rsidP="0031364E">
            <w:pPr>
              <w:shd w:val="clear" w:color="auto" w:fill="FFFFFF"/>
              <w:spacing w:before="100" w:beforeAutospacing="1" w:after="0" w:line="360" w:lineRule="atLeast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спожитий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до 3000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кВт∙год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електроенергії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місяць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включно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)</w:t>
            </w:r>
          </w:p>
          <w:p w:rsidR="00D41BFB" w:rsidRPr="0031364E" w:rsidRDefault="00D41BFB" w:rsidP="0031364E">
            <w:pPr>
              <w:shd w:val="clear" w:color="auto" w:fill="FFFFFF"/>
              <w:spacing w:before="100" w:beforeAutospacing="1" w:after="0" w:line="360" w:lineRule="atLeast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</w:p>
          <w:p w:rsidR="00D41BFB" w:rsidRPr="0031364E" w:rsidRDefault="00D41BFB" w:rsidP="0031364E">
            <w:pPr>
              <w:shd w:val="clear" w:color="auto" w:fill="FFFFFF"/>
              <w:spacing w:before="100" w:beforeAutospacing="1" w:after="0" w:line="360" w:lineRule="atLeast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спожитий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понад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3000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кВт∙год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електроенергії</w:t>
            </w:r>
            <w:proofErr w:type="spellEnd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місяць</w:t>
            </w:r>
            <w:proofErr w:type="spellEnd"/>
          </w:p>
          <w:p w:rsidR="00D41BFB" w:rsidRPr="0031364E" w:rsidRDefault="00D41BFB" w:rsidP="00D41BFB">
            <w:pPr>
              <w:rPr>
                <w:rFonts w:ascii="ProbaPro" w:hAnsi="ProbaPro"/>
                <w:b/>
                <w:color w:val="000000"/>
                <w:shd w:val="clear" w:color="auto" w:fill="FFFFFF"/>
              </w:rPr>
            </w:pPr>
          </w:p>
        </w:tc>
        <w:tc>
          <w:tcPr>
            <w:tcW w:w="148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75</w:t>
            </w: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87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42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  <w:tr w:rsidR="00D41BFB" w:rsidRPr="0031364E" w:rsidTr="0031364E">
        <w:trPr>
          <w:trHeight w:val="209"/>
        </w:trPr>
        <w:tc>
          <w:tcPr>
            <w:tcW w:w="4785" w:type="dxa"/>
            <w:shd w:val="clear" w:color="auto" w:fill="auto"/>
          </w:tcPr>
          <w:p w:rsidR="00D41BFB" w:rsidRPr="0031364E" w:rsidRDefault="00D41BFB" w:rsidP="00D41BFB">
            <w:pPr>
              <w:rPr>
                <w:rFonts w:ascii="ProbaPro" w:eastAsia="Times New Roman" w:hAnsi="ProbaPro"/>
                <w:b/>
                <w:color w:val="212529"/>
                <w:sz w:val="24"/>
                <w:szCs w:val="24"/>
                <w:lang w:eastAsia="ru-RU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1.4. Для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багатодітних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прийомних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сімей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дитячих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будинків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сімейного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типу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незалежно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від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обсягів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споживання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електроенергії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75</w:t>
            </w:r>
          </w:p>
        </w:tc>
        <w:tc>
          <w:tcPr>
            <w:tcW w:w="187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</w:tc>
        <w:tc>
          <w:tcPr>
            <w:tcW w:w="142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</w:tc>
      </w:tr>
      <w:tr w:rsidR="00D41BFB" w:rsidRPr="0031364E" w:rsidTr="0031364E">
        <w:trPr>
          <w:trHeight w:val="240"/>
        </w:trPr>
        <w:tc>
          <w:tcPr>
            <w:tcW w:w="4785" w:type="dxa"/>
            <w:shd w:val="clear" w:color="auto" w:fill="auto"/>
          </w:tcPr>
          <w:p w:rsidR="00D41BFB" w:rsidRPr="0031364E" w:rsidRDefault="00D41BFB" w:rsidP="00D41BFB">
            <w:pPr>
              <w:rPr>
                <w:rFonts w:ascii="ProbaPro" w:eastAsia="Times New Roman" w:hAnsi="ProbaPro"/>
                <w:b/>
                <w:color w:val="212529"/>
                <w:sz w:val="24"/>
                <w:szCs w:val="24"/>
                <w:lang w:eastAsia="ru-RU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1.5.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Населенню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, яке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розраховується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з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енергопостачальною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організацією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за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загальним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розрахунковим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засобом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обліку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об'єднане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шляхом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створення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юридичної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особи,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житлово-експлуатаційним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організаціям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крім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гуртожитків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87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42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  <w:tr w:rsidR="00D41BFB" w:rsidRPr="0031364E" w:rsidTr="0031364E">
        <w:trPr>
          <w:trHeight w:val="209"/>
        </w:trPr>
        <w:tc>
          <w:tcPr>
            <w:tcW w:w="4785" w:type="dxa"/>
            <w:shd w:val="clear" w:color="auto" w:fill="auto"/>
          </w:tcPr>
          <w:p w:rsidR="00D41BFB" w:rsidRPr="0031364E" w:rsidRDefault="00D41BFB" w:rsidP="00D41BFB">
            <w:pPr>
              <w:rPr>
                <w:rFonts w:ascii="ProbaPro" w:eastAsia="Times New Roman" w:hAnsi="ProbaPro"/>
                <w:b/>
                <w:color w:val="212529"/>
                <w:sz w:val="24"/>
                <w:szCs w:val="24"/>
                <w:lang w:eastAsia="ru-RU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1.6.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Гуртожиткам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які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підпадають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під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визначення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населення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, яке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розраховується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з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енергопостачальною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організацією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за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загальним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розрахунковим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засобом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обліку</w:t>
            </w:r>
            <w:proofErr w:type="spellEnd"/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»)</w:t>
            </w:r>
          </w:p>
        </w:tc>
        <w:tc>
          <w:tcPr>
            <w:tcW w:w="148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75</w:t>
            </w:r>
          </w:p>
        </w:tc>
        <w:tc>
          <w:tcPr>
            <w:tcW w:w="1875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</w:tc>
        <w:tc>
          <w:tcPr>
            <w:tcW w:w="142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</w:tc>
      </w:tr>
    </w:tbl>
    <w:p w:rsidR="00620B57" w:rsidRDefault="00620B57" w:rsidP="00D41BFB">
      <w:pPr>
        <w:rPr>
          <w:rFonts w:ascii="Times New Roman" w:hAnsi="Times New Roman"/>
          <w:sz w:val="28"/>
          <w:szCs w:val="28"/>
        </w:rPr>
      </w:pPr>
    </w:p>
    <w:p w:rsidR="00D41BFB" w:rsidRPr="00620B57" w:rsidRDefault="00D41BFB" w:rsidP="00D41BFB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* </w:t>
      </w: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 01.07.2019</w:t>
      </w:r>
      <w:r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 з початком </w:t>
      </w:r>
      <w:proofErr w:type="spellStart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дії</w:t>
      </w:r>
      <w:proofErr w:type="spellEnd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нового ринку </w:t>
      </w:r>
      <w:proofErr w:type="spellStart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електричної</w:t>
      </w:r>
      <w:proofErr w:type="spellEnd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енергії</w:t>
      </w:r>
      <w:proofErr w:type="spellEnd"/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 </w:t>
      </w: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у Регулятора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відсутні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повноваження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щодо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встановлення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цін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електричну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енергію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побутових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споживачів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населення</w:t>
      </w:r>
      <w:proofErr w:type="spellEnd"/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)</w:t>
      </w:r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.</w:t>
      </w:r>
    </w:p>
    <w:sectPr w:rsidR="00D41BFB" w:rsidRPr="0062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57B" w:rsidRDefault="009A557B" w:rsidP="00C21880">
      <w:pPr>
        <w:spacing w:after="0" w:line="240" w:lineRule="auto"/>
      </w:pPr>
      <w:r>
        <w:separator/>
      </w:r>
    </w:p>
  </w:endnote>
  <w:endnote w:type="continuationSeparator" w:id="0">
    <w:p w:rsidR="009A557B" w:rsidRDefault="009A557B" w:rsidP="00C2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57B" w:rsidRDefault="009A557B" w:rsidP="00C21880">
      <w:pPr>
        <w:spacing w:after="0" w:line="240" w:lineRule="auto"/>
      </w:pPr>
      <w:r>
        <w:separator/>
      </w:r>
    </w:p>
  </w:footnote>
  <w:footnote w:type="continuationSeparator" w:id="0">
    <w:p w:rsidR="009A557B" w:rsidRDefault="009A557B" w:rsidP="00C2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6C53"/>
    <w:multiLevelType w:val="multilevel"/>
    <w:tmpl w:val="D42A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16BDA"/>
    <w:multiLevelType w:val="hybridMultilevel"/>
    <w:tmpl w:val="BDE0F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EE7"/>
    <w:multiLevelType w:val="hybridMultilevel"/>
    <w:tmpl w:val="6D4A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377B"/>
    <w:multiLevelType w:val="hybridMultilevel"/>
    <w:tmpl w:val="524A6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2AE"/>
    <w:multiLevelType w:val="multilevel"/>
    <w:tmpl w:val="BABC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D1550"/>
    <w:multiLevelType w:val="multilevel"/>
    <w:tmpl w:val="8E78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66A35"/>
    <w:multiLevelType w:val="multilevel"/>
    <w:tmpl w:val="7EC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24B19"/>
    <w:multiLevelType w:val="hybridMultilevel"/>
    <w:tmpl w:val="7E3C2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48C3"/>
    <w:multiLevelType w:val="hybridMultilevel"/>
    <w:tmpl w:val="32FA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3A28"/>
    <w:multiLevelType w:val="hybridMultilevel"/>
    <w:tmpl w:val="DFDCB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B6473"/>
    <w:multiLevelType w:val="multilevel"/>
    <w:tmpl w:val="9AAA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robaPro" w:eastAsia="Times New Roman" w:hAnsi="ProbaPr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50B3A"/>
    <w:multiLevelType w:val="hybridMultilevel"/>
    <w:tmpl w:val="3EB2C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678F"/>
    <w:multiLevelType w:val="multilevel"/>
    <w:tmpl w:val="657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6038B"/>
    <w:multiLevelType w:val="hybridMultilevel"/>
    <w:tmpl w:val="667A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539B8"/>
    <w:multiLevelType w:val="multilevel"/>
    <w:tmpl w:val="F816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C45E5"/>
    <w:multiLevelType w:val="hybridMultilevel"/>
    <w:tmpl w:val="44CEE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2466D"/>
    <w:multiLevelType w:val="multilevel"/>
    <w:tmpl w:val="FBB2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A337D"/>
    <w:multiLevelType w:val="hybridMultilevel"/>
    <w:tmpl w:val="FF74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14332"/>
    <w:multiLevelType w:val="multilevel"/>
    <w:tmpl w:val="2188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66898"/>
    <w:multiLevelType w:val="hybridMultilevel"/>
    <w:tmpl w:val="B02C2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51A91"/>
    <w:multiLevelType w:val="hybridMultilevel"/>
    <w:tmpl w:val="36FA9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F56EA"/>
    <w:multiLevelType w:val="multilevel"/>
    <w:tmpl w:val="4AB4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C43CC"/>
    <w:multiLevelType w:val="hybridMultilevel"/>
    <w:tmpl w:val="736A3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1"/>
  </w:num>
  <w:num w:numId="5">
    <w:abstractNumId w:val="20"/>
  </w:num>
  <w:num w:numId="6">
    <w:abstractNumId w:val="1"/>
  </w:num>
  <w:num w:numId="7">
    <w:abstractNumId w:val="22"/>
  </w:num>
  <w:num w:numId="8">
    <w:abstractNumId w:val="9"/>
  </w:num>
  <w:num w:numId="9">
    <w:abstractNumId w:val="8"/>
  </w:num>
  <w:num w:numId="10">
    <w:abstractNumId w:val="13"/>
  </w:num>
  <w:num w:numId="11">
    <w:abstractNumId w:val="6"/>
  </w:num>
  <w:num w:numId="12">
    <w:abstractNumId w:val="5"/>
  </w:num>
  <w:num w:numId="13">
    <w:abstractNumId w:val="21"/>
  </w:num>
  <w:num w:numId="14">
    <w:abstractNumId w:val="12"/>
  </w:num>
  <w:num w:numId="15">
    <w:abstractNumId w:val="14"/>
  </w:num>
  <w:num w:numId="16">
    <w:abstractNumId w:val="10"/>
  </w:num>
  <w:num w:numId="17">
    <w:abstractNumId w:val="0"/>
  </w:num>
  <w:num w:numId="18">
    <w:abstractNumId w:val="18"/>
  </w:num>
  <w:num w:numId="19">
    <w:abstractNumId w:val="17"/>
  </w:num>
  <w:num w:numId="20">
    <w:abstractNumId w:val="3"/>
  </w:num>
  <w:num w:numId="21">
    <w:abstractNumId w:val="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49"/>
    <w:rsid w:val="000272E0"/>
    <w:rsid w:val="00037939"/>
    <w:rsid w:val="000B6640"/>
    <w:rsid w:val="000B6D3D"/>
    <w:rsid w:val="000D1994"/>
    <w:rsid w:val="000D2D8D"/>
    <w:rsid w:val="001860AC"/>
    <w:rsid w:val="001B6BE5"/>
    <w:rsid w:val="00202FB5"/>
    <w:rsid w:val="0021264F"/>
    <w:rsid w:val="00214016"/>
    <w:rsid w:val="00221D74"/>
    <w:rsid w:val="00245284"/>
    <w:rsid w:val="00260DF3"/>
    <w:rsid w:val="002711BF"/>
    <w:rsid w:val="00287919"/>
    <w:rsid w:val="002B00BB"/>
    <w:rsid w:val="002B4CBB"/>
    <w:rsid w:val="002E2446"/>
    <w:rsid w:val="0031364E"/>
    <w:rsid w:val="00325CB0"/>
    <w:rsid w:val="00336C22"/>
    <w:rsid w:val="00341AF9"/>
    <w:rsid w:val="003E4F2D"/>
    <w:rsid w:val="003F6B47"/>
    <w:rsid w:val="00453E45"/>
    <w:rsid w:val="005115D0"/>
    <w:rsid w:val="005150E9"/>
    <w:rsid w:val="00530DE8"/>
    <w:rsid w:val="00543EB6"/>
    <w:rsid w:val="00582E1E"/>
    <w:rsid w:val="005D5C00"/>
    <w:rsid w:val="005E7ADE"/>
    <w:rsid w:val="006102B2"/>
    <w:rsid w:val="00620B57"/>
    <w:rsid w:val="00641000"/>
    <w:rsid w:val="00693D92"/>
    <w:rsid w:val="006A6BED"/>
    <w:rsid w:val="00750005"/>
    <w:rsid w:val="007530FE"/>
    <w:rsid w:val="007968A8"/>
    <w:rsid w:val="007A09F3"/>
    <w:rsid w:val="00840F78"/>
    <w:rsid w:val="00854D25"/>
    <w:rsid w:val="00857C3A"/>
    <w:rsid w:val="00864668"/>
    <w:rsid w:val="00882B9D"/>
    <w:rsid w:val="008862B1"/>
    <w:rsid w:val="00896B92"/>
    <w:rsid w:val="008B1E49"/>
    <w:rsid w:val="00915B67"/>
    <w:rsid w:val="0097336E"/>
    <w:rsid w:val="00976152"/>
    <w:rsid w:val="00981F04"/>
    <w:rsid w:val="009A13CA"/>
    <w:rsid w:val="009A557B"/>
    <w:rsid w:val="009C4892"/>
    <w:rsid w:val="009F3E0C"/>
    <w:rsid w:val="00A06AAF"/>
    <w:rsid w:val="00A3783C"/>
    <w:rsid w:val="00A7493D"/>
    <w:rsid w:val="00A92383"/>
    <w:rsid w:val="00AB4A47"/>
    <w:rsid w:val="00B012FC"/>
    <w:rsid w:val="00B33C8E"/>
    <w:rsid w:val="00B462E1"/>
    <w:rsid w:val="00B64D59"/>
    <w:rsid w:val="00C21880"/>
    <w:rsid w:val="00C32E7D"/>
    <w:rsid w:val="00C66A49"/>
    <w:rsid w:val="00C73902"/>
    <w:rsid w:val="00CA37DA"/>
    <w:rsid w:val="00CE4562"/>
    <w:rsid w:val="00CF3A24"/>
    <w:rsid w:val="00D121A2"/>
    <w:rsid w:val="00D41BFB"/>
    <w:rsid w:val="00D51CA0"/>
    <w:rsid w:val="00D77FED"/>
    <w:rsid w:val="00D91D7A"/>
    <w:rsid w:val="00D93B60"/>
    <w:rsid w:val="00D961F9"/>
    <w:rsid w:val="00DE0F99"/>
    <w:rsid w:val="00E13EE0"/>
    <w:rsid w:val="00E2514F"/>
    <w:rsid w:val="00E27432"/>
    <w:rsid w:val="00E80D79"/>
    <w:rsid w:val="00EE327D"/>
    <w:rsid w:val="00F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33E774-069B-442B-BA53-654FA46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6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88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C2188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188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C21880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4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semiHidden/>
    <w:rsid w:val="00641000"/>
    <w:rPr>
      <w:rFonts w:ascii="Courier New" w:eastAsia="Times New Roman" w:hAnsi="Courier New" w:cs="Courier New"/>
    </w:rPr>
  </w:style>
  <w:style w:type="character" w:customStyle="1" w:styleId="y2iqfc">
    <w:name w:val="y2iqfc"/>
    <w:rsid w:val="00641000"/>
  </w:style>
  <w:style w:type="table" w:styleId="a8">
    <w:name w:val="Table Grid"/>
    <w:basedOn w:val="a1"/>
    <w:uiPriority w:val="39"/>
    <w:rsid w:val="0062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D41BFB"/>
    <w:rPr>
      <w:b/>
      <w:bCs/>
    </w:rPr>
  </w:style>
  <w:style w:type="paragraph" w:styleId="aa">
    <w:name w:val="Normal (Web)"/>
    <w:basedOn w:val="a"/>
    <w:uiPriority w:val="99"/>
    <w:semiHidden/>
    <w:unhideWhenUsed/>
    <w:rsid w:val="00D41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D41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83-2019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859-2021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83-2019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413E-E051-4058-B15A-E9D16ACE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5882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Links>
    <vt:vector size="18" baseType="variant">
      <vt:variant>
        <vt:i4>458767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https://zakon.rada.gov.ua/laws/show/859-2021-%D0%BF</vt:lpwstr>
      </vt:variant>
      <vt:variant>
        <vt:lpwstr>n2</vt:lpwstr>
      </vt:variant>
      <vt:variant>
        <vt:i4>2162792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https://zakon.rada.gov.ua/laws/show/483-2019-%D0%BF</vt:lpwstr>
      </vt:variant>
      <vt:variant>
        <vt:lpwstr>Text</vt:lpwstr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https://zakon.rada.gov.ua/laws/show/483-2019-%D0%BF</vt:lpwstr>
      </vt:variant>
      <vt:variant>
        <vt:lpwstr>Text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Міньковський Олександр Віталійович</cp:lastModifiedBy>
  <cp:revision>2</cp:revision>
  <dcterms:created xsi:type="dcterms:W3CDTF">2025-07-22T10:25:00Z</dcterms:created>
  <dcterms:modified xsi:type="dcterms:W3CDTF">2025-07-22T10:25:00Z</dcterms:modified>
</cp:coreProperties>
</file>