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6300" w14:textId="77777777" w:rsidR="002F378D" w:rsidRDefault="007F435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3FD7A4A2" w14:textId="77777777" w:rsidR="002F378D" w:rsidRDefault="007F435B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4ED3A614" w14:textId="77777777" w:rsidR="0008384A" w:rsidRDefault="0008384A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1311B95C" w14:textId="0F611376" w:rsidR="005826CF" w:rsidRDefault="007F435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5826CF">
        <w:rPr>
          <w:rStyle w:val="FontStyle11"/>
          <w:lang w:val="uk-UA" w:eastAsia="uk-UA"/>
        </w:rPr>
        <w:t xml:space="preserve">№ </w:t>
      </w:r>
      <w:r w:rsidR="00F35714">
        <w:rPr>
          <w:rStyle w:val="FontStyle11"/>
          <w:lang w:val="uk-UA" w:eastAsia="uk-UA"/>
        </w:rPr>
        <w:t>2</w:t>
      </w:r>
      <w:r w:rsidR="005826CF" w:rsidRPr="005826CF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4BE0702B" w14:textId="60035901" w:rsidR="002F378D" w:rsidRDefault="005826CF" w:rsidP="005A5AD0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7F435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7F435B">
        <w:rPr>
          <w:rStyle w:val="FontStyle11"/>
          <w:lang w:val="uk-UA" w:eastAsia="uk-UA"/>
        </w:rPr>
        <w:t xml:space="preserve">  </w:t>
      </w:r>
    </w:p>
    <w:p w14:paraId="22AFD4B3" w14:textId="77777777" w:rsidR="005A5AD0" w:rsidRPr="005A5AD0" w:rsidRDefault="005A5AD0" w:rsidP="00FE518F">
      <w:pPr>
        <w:pStyle w:val="Style3"/>
        <w:widowControl/>
        <w:spacing w:before="72"/>
        <w:jc w:val="left"/>
        <w:rPr>
          <w:b/>
          <w:bCs/>
          <w:sz w:val="22"/>
          <w:szCs w:val="22"/>
          <w:lang w:val="uk-UA" w:eastAsia="uk-UA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2F378D" w14:paraId="537074E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F384" w14:textId="77777777" w:rsidR="002F378D" w:rsidRDefault="007F435B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FD40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6B75421C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C761F6A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2A9FE712" w14:textId="77777777" w:rsidR="002F378D" w:rsidRDefault="007F435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5A5AD0" w14:paraId="4B81CF41" w14:textId="77777777" w:rsidTr="00FE518F">
        <w:trPr>
          <w:trHeight w:val="76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BA2E" w14:textId="3D87EDBD" w:rsidR="005A5AD0" w:rsidRDefault="005A5AD0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C03554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1DD2" w14:textId="0EDE3B1D" w:rsidR="004C46DC" w:rsidRPr="004C46DC" w:rsidRDefault="004C46DC" w:rsidP="004C46DC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4C46DC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4C46DC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розрахунков</w:t>
            </w:r>
            <w:r w:rsidRPr="004C46DC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4C46DC">
              <w:rPr>
                <w:sz w:val="22"/>
                <w:szCs w:val="22"/>
                <w:lang w:val="uk-UA" w:eastAsia="uk-UA"/>
              </w:rPr>
              <w:t>д</w:t>
            </w:r>
            <w:r w:rsidRPr="004C46DC">
              <w:rPr>
                <w:sz w:val="22"/>
                <w:szCs w:val="22"/>
                <w:lang w:eastAsia="uk-UA"/>
              </w:rPr>
              <w:t xml:space="preserve"> становить </w:t>
            </w:r>
            <w:r w:rsidR="00907CCF" w:rsidRPr="00907CCF">
              <w:rPr>
                <w:sz w:val="22"/>
                <w:szCs w:val="22"/>
                <w:lang w:eastAsia="uk-UA"/>
              </w:rPr>
              <w:t>16</w:t>
            </w:r>
            <w:bookmarkStart w:id="0" w:name="_GoBack"/>
            <w:bookmarkEnd w:id="0"/>
            <w:r w:rsidRPr="004C46DC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4C46DC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4C46DC">
              <w:rPr>
                <w:sz w:val="22"/>
                <w:szCs w:val="22"/>
                <w:lang w:eastAsia="uk-UA"/>
              </w:rPr>
              <w:t xml:space="preserve"> без ПДВ</w:t>
            </w:r>
            <w:r w:rsidRPr="004C46DC">
              <w:rPr>
                <w:sz w:val="22"/>
                <w:szCs w:val="22"/>
                <w:lang w:val="uk-UA" w:eastAsia="uk-UA"/>
              </w:rPr>
              <w:t>.</w:t>
            </w:r>
          </w:p>
          <w:p w14:paraId="50748AA1" w14:textId="07E3E7CB" w:rsidR="005A5AD0" w:rsidRPr="000E25D7" w:rsidRDefault="004C46DC" w:rsidP="004C46DC">
            <w:pPr>
              <w:jc w:val="both"/>
              <w:rPr>
                <w:rStyle w:val="FontStyle12"/>
                <w:lang w:val="uk-UA" w:eastAsia="uk-UA"/>
              </w:rPr>
            </w:pPr>
            <w:r w:rsidRPr="004C46DC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21F712BD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1E96A4BE" w14:textId="77777777" w:rsidR="005A5AD0" w:rsidRPr="000E25D7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143ADCD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1364F4A" w14:textId="77777777" w:rsidR="005A5AD0" w:rsidRPr="003B6953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0B8C8C0C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9E56ABF" w14:textId="77777777" w:rsidR="005A5AD0" w:rsidRPr="000E25D7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13CF8AD" w14:textId="58D71753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32</w:t>
            </w:r>
          </w:p>
          <w:p w14:paraId="7B1CF623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211B8F22" w14:textId="77777777" w:rsidR="005A5AD0" w:rsidRDefault="005A5AD0" w:rsidP="00C65FD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394ECCEA" w14:textId="77777777" w:rsidR="005A5AD0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1F180460" w14:textId="77777777" w:rsidR="005A5AD0" w:rsidRPr="000E25D7" w:rsidRDefault="005A5AD0" w:rsidP="00C65FD7">
            <w:pPr>
              <w:jc w:val="both"/>
              <w:rPr>
                <w:rStyle w:val="FontStyle12"/>
                <w:lang w:val="uk-UA" w:eastAsia="uk-UA"/>
              </w:rPr>
            </w:pPr>
          </w:p>
          <w:p w14:paraId="776CA8C5" w14:textId="77777777" w:rsidR="005A5AD0" w:rsidRPr="000E25D7" w:rsidRDefault="005A5AD0" w:rsidP="00C65FD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1E937BDD" w14:textId="77777777" w:rsidR="005A5AD0" w:rsidRPr="000E25D7" w:rsidRDefault="005A5AD0" w:rsidP="00C65FD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B038F26" w14:textId="77777777" w:rsidR="005A5AD0" w:rsidRPr="008B26FB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29771AE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6F107FD" w14:textId="77777777" w:rsidR="005A5AD0" w:rsidRPr="000E25D7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57CC3E6A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5183499D" w14:textId="77777777" w:rsidR="005A5AD0" w:rsidRDefault="005A5AD0" w:rsidP="00C65FD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F5F064F" w14:textId="0E794E48" w:rsidR="005A5AD0" w:rsidRDefault="005A5AD0" w:rsidP="0011663F">
            <w:pPr>
              <w:pStyle w:val="Style1"/>
              <w:widowControl/>
              <w:tabs>
                <w:tab w:val="left" w:pos="2404"/>
              </w:tabs>
              <w:spacing w:line="274" w:lineRule="exact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A5AD0" w14:paraId="08807A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030" w14:textId="6CB4E5A4" w:rsidR="005A5AD0" w:rsidRDefault="00FE518F" w:rsidP="00D76A03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FE518F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C337" w14:textId="77777777" w:rsidR="004B5B5A" w:rsidRPr="004B5B5A" w:rsidRDefault="004B5B5A" w:rsidP="004B5B5A">
            <w:pPr>
              <w:rPr>
                <w:sz w:val="22"/>
                <w:szCs w:val="22"/>
                <w:lang w:val="uk-UA"/>
              </w:rPr>
            </w:pPr>
            <w:r w:rsidRPr="004B5B5A">
              <w:rPr>
                <w:sz w:val="22"/>
                <w:szCs w:val="22"/>
                <w:lang w:val="uk-UA"/>
              </w:rPr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5AF1C787" w14:textId="245019D5" w:rsidR="005A5AD0" w:rsidRDefault="005A5AD0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</w:p>
        </w:tc>
      </w:tr>
      <w:tr w:rsidR="00C65FD7" w:rsidRPr="00907CCF" w14:paraId="77E6A7B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E416" w14:textId="77777777" w:rsidR="00C65FD7" w:rsidRDefault="00C65FD7" w:rsidP="005A5AD0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1D9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117AC437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24</w:t>
            </w:r>
            <w:r>
              <w:rPr>
                <w:sz w:val="22"/>
                <w:szCs w:val="22"/>
                <w:lang w:val="uk-UA"/>
              </w:rPr>
              <w:t xml:space="preserve"> місяця, що передує розрахунковому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DC6386A" w14:textId="77777777" w:rsidR="00C65FD7" w:rsidRDefault="00C65FD7" w:rsidP="00C65FD7">
            <w:pPr>
              <w:pStyle w:val="afa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>
              <w:rPr>
                <w:b/>
                <w:sz w:val="22"/>
                <w:szCs w:val="22"/>
                <w:lang w:val="uk-UA"/>
              </w:rPr>
              <w:t>До 5 числа</w:t>
            </w:r>
            <w:r>
              <w:rPr>
                <w:sz w:val="22"/>
                <w:szCs w:val="22"/>
                <w:lang w:val="uk-UA"/>
              </w:rPr>
              <w:t xml:space="preserve"> розрахункового місяця - </w:t>
            </w:r>
            <w:r>
              <w:rPr>
                <w:b/>
                <w:sz w:val="22"/>
                <w:szCs w:val="22"/>
                <w:lang w:val="uk-UA"/>
              </w:rPr>
              <w:t>50%</w:t>
            </w:r>
            <w:r>
              <w:rPr>
                <w:sz w:val="22"/>
                <w:szCs w:val="22"/>
                <w:lang w:val="uk-UA"/>
              </w:rPr>
              <w:t xml:space="preserve"> вартості заявлених обсягів на розрахунковий місяць з урахуванням ПДВ;</w:t>
            </w:r>
          </w:p>
          <w:p w14:paraId="286F0A75" w14:textId="77777777" w:rsidR="00C65FD7" w:rsidRDefault="00C65FD7" w:rsidP="00C65FD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46F0FD1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Планові платежі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числа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кожний з яких визначається за наступною формулою: </w:t>
            </w:r>
            <w:r>
              <w:rPr>
                <w:rStyle w:val="FontStyle12"/>
                <w:lang w:val="en-US" w:eastAsia="uk-UA"/>
              </w:rPr>
              <w:t>O</w:t>
            </w:r>
            <w:r>
              <w:rPr>
                <w:rStyle w:val="FontStyle12"/>
                <w:lang w:val="uk-UA" w:eastAsia="uk-UA"/>
              </w:rPr>
              <w:t xml:space="preserve"> = 0,5*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2629A230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263FCE93" w14:textId="77777777" w:rsidR="00C65FD7" w:rsidRDefault="00C65FD7" w:rsidP="00C65FD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8E4ADA6" w14:textId="77777777" w:rsidR="00C65FD7" w:rsidRPr="00A96DD4" w:rsidRDefault="00C65FD7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A96DD4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C65FD7" w14:paraId="75D63E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DEBC" w14:textId="0FA7D05A" w:rsidR="00C65FD7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B7AD" w14:textId="77777777" w:rsidR="00C65FD7" w:rsidRDefault="00C65FD7" w:rsidP="00C65FD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 xml:space="preserve">місяця, наступного за </w:t>
            </w:r>
            <w:proofErr w:type="spellStart"/>
            <w:r>
              <w:rPr>
                <w:rFonts w:eastAsia="Times New Roman"/>
                <w:color w:val="000000"/>
                <w:sz w:val="22"/>
                <w:lang w:val="uk-UA"/>
              </w:rPr>
              <w:t>рохзрахунковим</w:t>
            </w:r>
            <w:proofErr w:type="spellEnd"/>
            <w:r>
              <w:rPr>
                <w:rFonts w:eastAsia="Times New Roman"/>
                <w:color w:val="000000"/>
                <w:sz w:val="22"/>
                <w:lang w:val="uk-UA"/>
              </w:rPr>
              <w:t>.</w:t>
            </w:r>
          </w:p>
          <w:p w14:paraId="706F3878" w14:textId="77777777" w:rsidR="00C65FD7" w:rsidRDefault="00C65FD7" w:rsidP="00C65FD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A5AD0" w:rsidRPr="00907CCF" w14:paraId="7B988EC2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2F96" w14:textId="72A24F73" w:rsidR="005A5AD0" w:rsidRDefault="005A5AD0" w:rsidP="005A5AD0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5B0B" w14:textId="77777777" w:rsidR="005A5AD0" w:rsidRDefault="005A5AD0" w:rsidP="00C65FD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5A5AD0" w14:paraId="26BE97EF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998C" w14:textId="3676DE98" w:rsidR="005A5AD0" w:rsidRDefault="005A5AD0" w:rsidP="005A5AD0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4715" w14:textId="77777777" w:rsidR="005A5AD0" w:rsidRDefault="005A5AD0" w:rsidP="00C65FD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2ED7C573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5A5AD0" w14:paraId="3FDE8505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666A" w14:textId="647AA626" w:rsidR="005A5AD0" w:rsidRDefault="005A5AD0" w:rsidP="005A5AD0">
            <w:pPr>
              <w:pStyle w:val="Style5"/>
              <w:widowControl/>
              <w:spacing w:line="274" w:lineRule="exact"/>
              <w:ind w:hanging="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25B" w14:textId="77777777" w:rsidR="005A5AD0" w:rsidRDefault="005A5AD0" w:rsidP="00C65FD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FE518F" w14:paraId="09974980" w14:textId="77777777" w:rsidTr="00FE518F">
        <w:trPr>
          <w:trHeight w:val="30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E350" w14:textId="775A2A3C" w:rsidR="00FE518F" w:rsidRDefault="00FE518F" w:rsidP="00FE518F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щодо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4D61" w14:textId="77777777" w:rsidR="00FE518F" w:rsidRDefault="00FE518F" w:rsidP="00FE518F">
            <w:pPr>
              <w:pStyle w:val="Style7"/>
              <w:widowControl/>
              <w:spacing w:line="274" w:lineRule="exact"/>
              <w:ind w:left="14" w:hanging="11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FE518F" w14:paraId="5BA1E383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5D04" w14:textId="40F9D14D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07B1" w14:textId="631D721F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2ВЦ, </w:t>
            </w:r>
            <w:r>
              <w:rPr>
                <w:rStyle w:val="FontStyle12"/>
                <w:lang w:val="uk-UA" w:eastAsia="uk-UA"/>
              </w:rPr>
              <w:t xml:space="preserve">якщо протягом трьох робочих днів Споживачу не буде повідомлено будь-яким способом про невідповідність його критеріям обраної </w:t>
            </w:r>
            <w:r>
              <w:rPr>
                <w:rStyle w:val="FontStyle12"/>
                <w:lang w:val="uk-UA" w:eastAsia="uk-UA"/>
              </w:rPr>
              <w:lastRenderedPageBreak/>
              <w:t>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9FF5B4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FE518F" w14:paraId="5F956231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12B8" w14:textId="365899F3" w:rsidR="00FE518F" w:rsidRDefault="00D76A03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1FE5" w14:textId="77777777" w:rsidR="00FE518F" w:rsidRDefault="00FE518F" w:rsidP="00FE518F">
            <w:pPr>
              <w:pStyle w:val="Style7"/>
              <w:widowControl/>
              <w:spacing w:line="274" w:lineRule="exact"/>
              <w:ind w:left="10" w:hanging="7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FE518F" w14:paraId="798D21B8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CF04" w14:textId="77777777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8384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7E6E" w14:textId="77777777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здійснюється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відповідно</w:t>
            </w:r>
            <w:proofErr w:type="spellEnd"/>
            <w:r w:rsidRPr="0008384A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08384A">
              <w:rPr>
                <w:sz w:val="22"/>
                <w:szCs w:val="22"/>
              </w:rPr>
              <w:t>забезпечення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постачання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електричної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енергії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захищеним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споживачам</w:t>
            </w:r>
            <w:proofErr w:type="spellEnd"/>
            <w:r w:rsidRPr="0008384A">
              <w:rPr>
                <w:sz w:val="22"/>
                <w:szCs w:val="22"/>
              </w:rPr>
              <w:t xml:space="preserve">, </w:t>
            </w:r>
            <w:proofErr w:type="spellStart"/>
            <w:r w:rsidRPr="0008384A">
              <w:rPr>
                <w:sz w:val="22"/>
                <w:szCs w:val="22"/>
              </w:rPr>
              <w:t>затвердженого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Постановою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Кабінету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Міністрів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України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від</w:t>
            </w:r>
            <w:proofErr w:type="spellEnd"/>
            <w:r w:rsidRPr="0008384A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08384A">
              <w:rPr>
                <w:sz w:val="22"/>
                <w:szCs w:val="22"/>
              </w:rPr>
              <w:t>зі</w:t>
            </w:r>
            <w:proofErr w:type="spellEnd"/>
            <w:r w:rsidRPr="0008384A">
              <w:rPr>
                <w:sz w:val="22"/>
                <w:szCs w:val="22"/>
              </w:rPr>
              <w:t xml:space="preserve"> </w:t>
            </w:r>
            <w:proofErr w:type="spellStart"/>
            <w:r w:rsidRPr="0008384A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FE518F" w14:paraId="498A31E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0BD5" w14:textId="4A70BA7B" w:rsidR="00FE518F" w:rsidRPr="0008384A" w:rsidRDefault="00FE518F" w:rsidP="00FE518F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CF9" w14:textId="77777777" w:rsidR="00FE518F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2FA17477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FFDC20F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250AA892" w14:textId="77777777" w:rsidR="00FE518F" w:rsidRPr="00B823DC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7649A8F" w14:textId="24F1AAD4" w:rsidR="00FE518F" w:rsidRPr="0008384A" w:rsidRDefault="00FE518F" w:rsidP="00FE518F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FE518F" w14:paraId="12C5EF1B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8AA8" w14:textId="66334CEC" w:rsidR="00FE518F" w:rsidRPr="004C75FC" w:rsidRDefault="00FE518F" w:rsidP="00FE518F">
            <w:pPr>
              <w:pStyle w:val="Style5"/>
              <w:widowControl/>
              <w:spacing w:line="240" w:lineRule="auto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4C75FC">
              <w:rPr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E5A1" w14:textId="77777777" w:rsidR="00FE518F" w:rsidRPr="005D1AAB" w:rsidRDefault="00FE518F" w:rsidP="00FE518F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77E840E7" w14:textId="77777777" w:rsidR="00FE518F" w:rsidRPr="005D1AAB" w:rsidRDefault="00FE518F" w:rsidP="00FE518F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40EE1F2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69FEB67C" w14:textId="77777777" w:rsidR="00FE518F" w:rsidRPr="005D1AAB" w:rsidRDefault="00FE518F" w:rsidP="00FE518F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6BABAE60" w14:textId="77777777" w:rsidR="00FE518F" w:rsidRPr="005D1AAB" w:rsidRDefault="00FE518F" w:rsidP="00FE518F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344D9854" w14:textId="77777777" w:rsidR="00FE518F" w:rsidRPr="005D1AAB" w:rsidRDefault="00FE518F" w:rsidP="00FE518F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5E8104B" w14:textId="1FD9A74F" w:rsidR="00FE518F" w:rsidRPr="00AA5CC8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lastRenderedPageBreak/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FE518F" w14:paraId="6D8EC0BC" w14:textId="77777777" w:rsidTr="00FE518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7A65" w14:textId="641020DA" w:rsidR="00FE518F" w:rsidRDefault="00FE518F" w:rsidP="00FE518F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76B3" w14:textId="77777777" w:rsidR="00FE518F" w:rsidRPr="00FC24D4" w:rsidRDefault="00FE518F" w:rsidP="00FE518F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3086674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44F372C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4E047451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BEF1F6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F94229C" w14:textId="77777777" w:rsidR="00FE518F" w:rsidRPr="00FC24D4" w:rsidRDefault="00FE518F" w:rsidP="00FE518F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31008800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7C6E2CDB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9BBCAFE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672873" w14:textId="77777777" w:rsidR="00FE518F" w:rsidRPr="00FC24D4" w:rsidRDefault="00FE518F" w:rsidP="00FE518F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48783C5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7DD6D4AF" w14:textId="77777777" w:rsidR="00FE518F" w:rsidRPr="00FC24D4" w:rsidRDefault="00FE518F" w:rsidP="00FE518F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5AA3FA7" w14:textId="77777777" w:rsidR="00FE518F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78E6A3F" w14:textId="5F58A9BB" w:rsidR="00FE518F" w:rsidRPr="00AA5CC8" w:rsidRDefault="00FE518F" w:rsidP="00FE518F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1884E1F0" w14:textId="77777777" w:rsidR="002F378D" w:rsidRDefault="002F378D">
      <w:pPr>
        <w:tabs>
          <w:tab w:val="left" w:pos="1695"/>
        </w:tabs>
      </w:pPr>
    </w:p>
    <w:tbl>
      <w:tblPr>
        <w:tblW w:w="9926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2F378D" w14:paraId="5002E4A6" w14:textId="77777777">
        <w:trPr>
          <w:trHeight w:val="305"/>
        </w:trPr>
        <w:tc>
          <w:tcPr>
            <w:tcW w:w="4880" w:type="dxa"/>
          </w:tcPr>
          <w:p w14:paraId="3CDC6E8F" w14:textId="77777777" w:rsidR="002F378D" w:rsidRDefault="007F435B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226" w:type="dxa"/>
          </w:tcPr>
          <w:p w14:paraId="6F8A2A87" w14:textId="77777777" w:rsidR="002F378D" w:rsidRDefault="002F37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228E814B" w14:textId="77777777" w:rsidR="002F378D" w:rsidRDefault="002F37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F378D" w14:paraId="174B8A78" w14:textId="77777777">
        <w:trPr>
          <w:cantSplit/>
          <w:trHeight w:val="290"/>
        </w:trPr>
        <w:tc>
          <w:tcPr>
            <w:tcW w:w="4880" w:type="dxa"/>
          </w:tcPr>
          <w:p w14:paraId="1A0A9C4F" w14:textId="77777777" w:rsidR="002F378D" w:rsidRDefault="007F43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241B3AAC" w14:textId="77777777" w:rsidR="002F378D" w:rsidRDefault="002F378D" w:rsidP="004841D8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43A6A643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4520A5" w14:textId="77777777" w:rsidR="002F378D" w:rsidRDefault="002F378D">
            <w:pPr>
              <w:rPr>
                <w:rStyle w:val="af1"/>
                <w:b/>
              </w:rPr>
            </w:pPr>
          </w:p>
          <w:p w14:paraId="56023EA5" w14:textId="77777777" w:rsidR="002F378D" w:rsidRDefault="002F378D">
            <w:pPr>
              <w:rPr>
                <w:rStyle w:val="af1"/>
                <w:b/>
              </w:rPr>
            </w:pPr>
          </w:p>
          <w:p w14:paraId="2F2A1E94" w14:textId="77777777" w:rsidR="002F378D" w:rsidRDefault="002F378D">
            <w:pPr>
              <w:rPr>
                <w:rStyle w:val="af1"/>
                <w:b/>
              </w:rPr>
            </w:pPr>
          </w:p>
          <w:p w14:paraId="7DE3D70C" w14:textId="77777777" w:rsidR="002F378D" w:rsidRDefault="002F378D">
            <w:pPr>
              <w:rPr>
                <w:rStyle w:val="af1"/>
                <w:b/>
              </w:rPr>
            </w:pPr>
          </w:p>
          <w:p w14:paraId="28BDEBE9" w14:textId="77777777" w:rsidR="002F378D" w:rsidRDefault="002F378D">
            <w:pPr>
              <w:rPr>
                <w:rStyle w:val="af1"/>
                <w:b/>
              </w:rPr>
            </w:pPr>
          </w:p>
          <w:p w14:paraId="19100990" w14:textId="77777777" w:rsidR="002F378D" w:rsidRDefault="002F378D">
            <w:pPr>
              <w:rPr>
                <w:b/>
                <w:sz w:val="22"/>
                <w:szCs w:val="22"/>
              </w:rPr>
            </w:pPr>
          </w:p>
        </w:tc>
      </w:tr>
    </w:tbl>
    <w:p w14:paraId="480BD710" w14:textId="77777777" w:rsidR="002F378D" w:rsidRDefault="002F378D">
      <w:pPr>
        <w:tabs>
          <w:tab w:val="left" w:pos="1695"/>
        </w:tabs>
      </w:pPr>
    </w:p>
    <w:p w14:paraId="094666DE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6CE51542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B6D712D" w14:textId="77777777" w:rsidR="002F378D" w:rsidRDefault="002F378D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sectPr w:rsidR="002F378D">
      <w:type w:val="continuous"/>
      <w:pgSz w:w="11905" w:h="16837"/>
      <w:pgMar w:top="301" w:right="567" w:bottom="28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6EB50" w14:textId="77777777" w:rsidR="0071298C" w:rsidRDefault="0071298C">
      <w:r>
        <w:separator/>
      </w:r>
    </w:p>
  </w:endnote>
  <w:endnote w:type="continuationSeparator" w:id="0">
    <w:p w14:paraId="37637573" w14:textId="77777777" w:rsidR="0071298C" w:rsidRDefault="007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20132" w14:textId="77777777" w:rsidR="0071298C" w:rsidRDefault="0071298C">
      <w:r>
        <w:separator/>
      </w:r>
    </w:p>
  </w:footnote>
  <w:footnote w:type="continuationSeparator" w:id="0">
    <w:p w14:paraId="48600CE5" w14:textId="77777777" w:rsidR="0071298C" w:rsidRDefault="0071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8D"/>
    <w:rsid w:val="00082DBF"/>
    <w:rsid w:val="0008384A"/>
    <w:rsid w:val="000C0FC4"/>
    <w:rsid w:val="000D60FE"/>
    <w:rsid w:val="0011663F"/>
    <w:rsid w:val="001545DC"/>
    <w:rsid w:val="00196807"/>
    <w:rsid w:val="002309A4"/>
    <w:rsid w:val="002C226D"/>
    <w:rsid w:val="002F378D"/>
    <w:rsid w:val="00343FB8"/>
    <w:rsid w:val="0036678C"/>
    <w:rsid w:val="00387AA6"/>
    <w:rsid w:val="00392494"/>
    <w:rsid w:val="004051E7"/>
    <w:rsid w:val="004841D8"/>
    <w:rsid w:val="004B5B5A"/>
    <w:rsid w:val="004C46DC"/>
    <w:rsid w:val="004D7FF9"/>
    <w:rsid w:val="005248F3"/>
    <w:rsid w:val="00542666"/>
    <w:rsid w:val="005826CF"/>
    <w:rsid w:val="005A5AD0"/>
    <w:rsid w:val="00617FD1"/>
    <w:rsid w:val="00631C03"/>
    <w:rsid w:val="00634C74"/>
    <w:rsid w:val="0067213E"/>
    <w:rsid w:val="0068791E"/>
    <w:rsid w:val="0071298C"/>
    <w:rsid w:val="00753191"/>
    <w:rsid w:val="007F435B"/>
    <w:rsid w:val="0084349D"/>
    <w:rsid w:val="00907CCF"/>
    <w:rsid w:val="00982E80"/>
    <w:rsid w:val="00A96DD4"/>
    <w:rsid w:val="00AA5CC8"/>
    <w:rsid w:val="00B06FDB"/>
    <w:rsid w:val="00B6758E"/>
    <w:rsid w:val="00B91396"/>
    <w:rsid w:val="00BE294D"/>
    <w:rsid w:val="00C01910"/>
    <w:rsid w:val="00C03554"/>
    <w:rsid w:val="00C44142"/>
    <w:rsid w:val="00C51D3C"/>
    <w:rsid w:val="00C65FD7"/>
    <w:rsid w:val="00CA38BD"/>
    <w:rsid w:val="00D76A03"/>
    <w:rsid w:val="00D91E8E"/>
    <w:rsid w:val="00E16169"/>
    <w:rsid w:val="00E540ED"/>
    <w:rsid w:val="00E86114"/>
    <w:rsid w:val="00EC5022"/>
    <w:rsid w:val="00F22AE7"/>
    <w:rsid w:val="00F35714"/>
    <w:rsid w:val="00F5754C"/>
    <w:rsid w:val="00FC4727"/>
    <w:rsid w:val="00FE518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0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5826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82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8361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dcterms:created xsi:type="dcterms:W3CDTF">2026-01-19T14:55:00Z</dcterms:created>
  <dcterms:modified xsi:type="dcterms:W3CDTF">2026-01-20T06:10:00Z</dcterms:modified>
</cp:coreProperties>
</file>